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E6" w:rsidRPr="00205DB4" w:rsidRDefault="003D0EA6" w:rsidP="00205DB4">
      <w:pPr>
        <w:pStyle w:val="NoSpacing"/>
        <w:jc w:val="center"/>
        <w:rPr>
          <w:b/>
        </w:rPr>
      </w:pPr>
      <w:bookmarkStart w:id="0" w:name="_GoBack"/>
      <w:bookmarkEnd w:id="0"/>
      <w:r w:rsidRPr="00205DB4">
        <w:rPr>
          <w:b/>
        </w:rPr>
        <w:t>Letter of Medical Necessi</w:t>
      </w:r>
      <w:r w:rsidR="00342070">
        <w:rPr>
          <w:b/>
        </w:rPr>
        <w:t>ty for Exome Sequencing with Mitochondrial Genome</w:t>
      </w:r>
      <w:r w:rsidR="003B5586">
        <w:rPr>
          <w:b/>
        </w:rPr>
        <w:t xml:space="preserve"> Testing</w:t>
      </w:r>
    </w:p>
    <w:p w:rsidR="00AB2F4A" w:rsidRPr="00AB2F4A" w:rsidRDefault="00AB2F4A" w:rsidP="00AB2F4A">
      <w:pPr>
        <w:pStyle w:val="NoSpacing"/>
        <w:rPr>
          <w:color w:val="FF0000"/>
        </w:rPr>
      </w:pPr>
    </w:p>
    <w:p w:rsidR="00AB2F4A" w:rsidRDefault="00AB2F4A" w:rsidP="00AB2F4A">
      <w:pPr>
        <w:pStyle w:val="NoSpacing"/>
        <w:rPr>
          <w:color w:val="FF0000"/>
        </w:rPr>
      </w:pPr>
    </w:p>
    <w:p w:rsidR="00205DB4" w:rsidRPr="00AB2F4A" w:rsidRDefault="00205DB4" w:rsidP="00AB2F4A">
      <w:pPr>
        <w:pStyle w:val="NoSpacing"/>
        <w:rPr>
          <w:color w:val="FF0000"/>
        </w:rPr>
        <w:sectPr w:rsidR="00205DB4" w:rsidRPr="00AB2F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3146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Patient Information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Date: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Name: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DOB: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Insurance Company</w:t>
      </w:r>
      <w:r w:rsidR="00B82599" w:rsidRPr="00253146">
        <w:rPr>
          <w:b/>
          <w:color w:val="FF0000"/>
        </w:rPr>
        <w:t xml:space="preserve"> Name, Address, City, State</w:t>
      </w:r>
      <w:r w:rsidRP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Policy Number</w:t>
      </w:r>
      <w:r w:rsid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Group Number</w:t>
      </w:r>
      <w:r w:rsidR="00253146">
        <w:rPr>
          <w:b/>
          <w:color w:val="FF0000"/>
        </w:rPr>
        <w:t>:</w:t>
      </w:r>
    </w:p>
    <w:p w:rsidR="00AB2F4A" w:rsidRPr="00AB2F4A" w:rsidRDefault="00B82599" w:rsidP="00AB2F4A">
      <w:pPr>
        <w:pStyle w:val="NoSpacing"/>
        <w:rPr>
          <w:color w:val="FF0000"/>
        </w:rPr>
      </w:pPr>
      <w:r w:rsidRPr="00253146">
        <w:rPr>
          <w:b/>
          <w:color w:val="FF0000"/>
        </w:rPr>
        <w:t>ICD10 Codes</w:t>
      </w:r>
      <w:r w:rsidR="00253146">
        <w:rPr>
          <w:b/>
          <w:color w:val="FF0000"/>
        </w:rPr>
        <w:t>:</w:t>
      </w:r>
      <w:r w:rsidR="00921AF4" w:rsidRPr="00AB2F4A">
        <w:rPr>
          <w:color w:val="FF0000"/>
        </w:rPr>
        <w:t xml:space="preserve"> 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</w:p>
    <w:p w:rsidR="00F9401A" w:rsidRDefault="00F9401A" w:rsidP="00AB2F4A">
      <w:pPr>
        <w:pStyle w:val="NoSpacing"/>
      </w:pPr>
    </w:p>
    <w:p w:rsidR="00342070" w:rsidRDefault="00342070" w:rsidP="00AB2F4A">
      <w:pPr>
        <w:pStyle w:val="NoSpacing"/>
      </w:pPr>
    </w:p>
    <w:p w:rsidR="00205DB4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Test Information</w:t>
      </w:r>
    </w:p>
    <w:p w:rsidR="002D0B92" w:rsidRPr="00253146" w:rsidRDefault="002D0B92" w:rsidP="00AB2F4A">
      <w:pPr>
        <w:pStyle w:val="NoSpacing"/>
      </w:pPr>
      <w:r w:rsidRPr="00253146">
        <w:rPr>
          <w:b/>
        </w:rPr>
        <w:t>Test Name</w:t>
      </w:r>
      <w:r w:rsidR="00FB3BE6" w:rsidRPr="00253146">
        <w:rPr>
          <w:b/>
        </w:rPr>
        <w:t>:</w:t>
      </w:r>
      <w:r w:rsidR="00BE244D" w:rsidRPr="00253146">
        <w:t xml:space="preserve">  </w:t>
      </w:r>
      <w:proofErr w:type="spellStart"/>
      <w:r w:rsidR="00BE244D" w:rsidRPr="00253146">
        <w:t>XomeDx</w:t>
      </w:r>
      <w:r w:rsidR="00F9401A">
        <w:t>Plus</w:t>
      </w:r>
      <w:proofErr w:type="spellEnd"/>
      <w:r w:rsidR="003B5586">
        <w:t xml:space="preserve"> (Duo</w:t>
      </w:r>
      <w:r w:rsidR="00B42759">
        <w:t>)</w:t>
      </w:r>
      <w:r w:rsidR="00BE244D" w:rsidRPr="00253146">
        <w:t xml:space="preserve"> </w:t>
      </w:r>
      <w:r w:rsidR="00253146" w:rsidRPr="00253146">
        <w:t>Exome Sequencing</w:t>
      </w:r>
      <w:r w:rsidR="00F9401A">
        <w:t xml:space="preserve"> with Mitochondrial Genome Sequencing</w:t>
      </w:r>
      <w:r w:rsidR="00342070">
        <w:t xml:space="preserve"> and Deletion Analysis</w:t>
      </w:r>
    </w:p>
    <w:p w:rsidR="00F9401A" w:rsidRDefault="002D0B92" w:rsidP="00AB2F4A">
      <w:pPr>
        <w:pStyle w:val="NoSpacing"/>
      </w:pPr>
      <w:r w:rsidRPr="0064562A">
        <w:rPr>
          <w:b/>
        </w:rPr>
        <w:t>CPT Codes</w:t>
      </w:r>
      <w:r w:rsidR="00FB3BE6" w:rsidRPr="0064562A">
        <w:rPr>
          <w:b/>
        </w:rPr>
        <w:t>:</w:t>
      </w:r>
      <w:r w:rsidR="0064562A" w:rsidRPr="0064562A">
        <w:rPr>
          <w:b/>
        </w:rPr>
        <w:t xml:space="preserve">  </w:t>
      </w:r>
      <w:r w:rsidR="003B5586">
        <w:t>81415, 81416x1</w:t>
      </w:r>
      <w:r w:rsidR="00F9401A" w:rsidRPr="00F9401A">
        <w:t>, 81460</w:t>
      </w:r>
    </w:p>
    <w:p w:rsidR="008706C4" w:rsidRPr="00253146" w:rsidRDefault="00FB3BE6" w:rsidP="00AB2F4A">
      <w:pPr>
        <w:pStyle w:val="NoSpacing"/>
        <w:rPr>
          <w:b/>
        </w:rPr>
      </w:pPr>
      <w:r w:rsidRPr="00253146">
        <w:rPr>
          <w:b/>
        </w:rPr>
        <w:t xml:space="preserve">Laboratory: </w:t>
      </w:r>
    </w:p>
    <w:p w:rsidR="00253146" w:rsidRDefault="008706C4" w:rsidP="00AB2F4A">
      <w:pPr>
        <w:pStyle w:val="NoSpacing"/>
      </w:pPr>
      <w:r>
        <w:t>GeneDx</w:t>
      </w:r>
      <w:r w:rsidR="00D17422">
        <w:t xml:space="preserve">, Inc. </w:t>
      </w:r>
      <w:r w:rsidR="00205DB4">
        <w:t xml:space="preserve"> </w:t>
      </w:r>
    </w:p>
    <w:p w:rsidR="00205DB4" w:rsidRPr="008706C4" w:rsidRDefault="00FB3BE6" w:rsidP="00AB2F4A">
      <w:pPr>
        <w:pStyle w:val="NoSpacing"/>
      </w:pPr>
      <w:r w:rsidRPr="00AB2F4A">
        <w:t>(NPI#1487632998 / TAXID#205446298 / CLIA#21D0969951)</w:t>
      </w:r>
    </w:p>
    <w:p w:rsidR="00AB2F4A" w:rsidRPr="00205DB4" w:rsidRDefault="00AB2F4A" w:rsidP="00AB2F4A">
      <w:pPr>
        <w:pStyle w:val="NoSpacing"/>
        <w:rPr>
          <w:color w:val="FF0000"/>
        </w:rPr>
      </w:pPr>
      <w:r w:rsidRPr="00AB2F4A">
        <w:t>207 Perry Parkway</w:t>
      </w:r>
    </w:p>
    <w:p w:rsidR="00AB2F4A" w:rsidRPr="00AB2F4A" w:rsidRDefault="00AB2F4A" w:rsidP="00AB2F4A">
      <w:pPr>
        <w:pStyle w:val="NoSpacing"/>
      </w:pPr>
      <w:r w:rsidRPr="00AB2F4A">
        <w:t>Gaithersburg, MD 20877</w:t>
      </w:r>
    </w:p>
    <w:p w:rsidR="00AB2F4A" w:rsidRPr="0064562A" w:rsidRDefault="00AB2F4A" w:rsidP="00AB2F4A">
      <w:pPr>
        <w:pStyle w:val="NoSpacing"/>
      </w:pPr>
      <w:r w:rsidRPr="0064562A">
        <w:t>Telephone:</w:t>
      </w:r>
      <w:r w:rsidR="0064562A" w:rsidRPr="0064562A">
        <w:t xml:space="preserve"> (301) 519-2100</w:t>
      </w:r>
    </w:p>
    <w:p w:rsidR="002D0B92" w:rsidRPr="0064562A" w:rsidRDefault="00AB2F4A" w:rsidP="00AB2F4A">
      <w:pPr>
        <w:pStyle w:val="NoSpacing"/>
      </w:pPr>
      <w:r w:rsidRPr="0064562A">
        <w:t xml:space="preserve">Fax: </w:t>
      </w:r>
      <w:r w:rsidR="0064562A" w:rsidRPr="0064562A">
        <w:t>(201) 421-2010</w:t>
      </w:r>
    </w:p>
    <w:p w:rsidR="00AB2F4A" w:rsidRPr="00AB2F4A" w:rsidRDefault="00AB2F4A" w:rsidP="00AB2F4A">
      <w:pPr>
        <w:pStyle w:val="NoSpacing"/>
        <w:sectPr w:rsidR="00AB2F4A" w:rsidRPr="00AB2F4A" w:rsidSect="00AB2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D0EA6" w:rsidRPr="00AB2F4A" w:rsidRDefault="003D0EA6" w:rsidP="00AB2F4A">
      <w:pPr>
        <w:pStyle w:val="NoSpacing"/>
      </w:pPr>
    </w:p>
    <w:p w:rsidR="00205DB4" w:rsidRDefault="00205DB4" w:rsidP="00AB2F4A">
      <w:pPr>
        <w:pStyle w:val="NoSpacing"/>
      </w:pPr>
    </w:p>
    <w:p w:rsidR="00F74480" w:rsidRDefault="00F74480" w:rsidP="00AB2F4A">
      <w:pPr>
        <w:pStyle w:val="NoSpacing"/>
      </w:pPr>
      <w:r w:rsidRPr="00AB2F4A">
        <w:t xml:space="preserve">This letter is in regards to my patient, </w:t>
      </w:r>
      <w:r w:rsidR="002D0B92" w:rsidRPr="00AB2F4A">
        <w:rPr>
          <w:color w:val="FF0000"/>
        </w:rPr>
        <w:t>[</w:t>
      </w:r>
      <w:r w:rsidRPr="00AB2F4A">
        <w:rPr>
          <w:color w:val="FF0000"/>
        </w:rPr>
        <w:t>FIRST NAME LAST NAME</w:t>
      </w:r>
      <w:r w:rsidR="002D0B92" w:rsidRPr="00AB2F4A">
        <w:rPr>
          <w:color w:val="FF0000"/>
        </w:rPr>
        <w:t>]</w:t>
      </w:r>
      <w:r w:rsidR="0064562A">
        <w:t xml:space="preserve">, to request full coverage for the </w:t>
      </w:r>
      <w:proofErr w:type="spellStart"/>
      <w:r w:rsidR="0064562A">
        <w:t>XomeDx</w:t>
      </w:r>
      <w:r w:rsidR="00F9401A">
        <w:t>Plus</w:t>
      </w:r>
      <w:proofErr w:type="spellEnd"/>
      <w:r w:rsidR="00F9401A" w:rsidRPr="00253146">
        <w:t xml:space="preserve"> </w:t>
      </w:r>
      <w:r w:rsidR="00F9401A">
        <w:t xml:space="preserve">test, which includes </w:t>
      </w:r>
      <w:r w:rsidR="00F9401A" w:rsidRPr="00253146">
        <w:t>Exome Sequencing</w:t>
      </w:r>
      <w:r w:rsidR="00F9401A">
        <w:t xml:space="preserve"> with Mitochondrial Genome Sequencing</w:t>
      </w:r>
      <w:r w:rsidR="00342070">
        <w:t xml:space="preserve"> </w:t>
      </w:r>
      <w:r w:rsidR="00F1597A">
        <w:t>and</w:t>
      </w:r>
      <w:r w:rsidR="00342070">
        <w:t xml:space="preserve"> Deletion Testing</w:t>
      </w:r>
      <w:r w:rsidR="00F9401A">
        <w:t>,</w:t>
      </w:r>
      <w:r w:rsidR="0064562A">
        <w:t xml:space="preserve"> </w:t>
      </w:r>
      <w:r w:rsidRPr="00AB2F4A">
        <w:t>to be perfo</w:t>
      </w:r>
      <w:r w:rsidR="008706C4">
        <w:t>r</w:t>
      </w:r>
      <w:r w:rsidRPr="00AB2F4A">
        <w:t>med by GeneDx</w:t>
      </w:r>
      <w:r w:rsidR="002D0B92" w:rsidRPr="00AB2F4A">
        <w:t xml:space="preserve">.  </w:t>
      </w:r>
      <w:r w:rsidRPr="00AB2F4A">
        <w:t xml:space="preserve">It is my professional determination that testing is medically necessary and will have a direct impact on this patient’s treatment and management.   </w:t>
      </w:r>
    </w:p>
    <w:p w:rsidR="006337EC" w:rsidRDefault="006337EC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 xml:space="preserve">Patient </w:t>
      </w:r>
      <w:r>
        <w:rPr>
          <w:b/>
        </w:rPr>
        <w:t>Clinical and Family History</w:t>
      </w:r>
    </w:p>
    <w:p w:rsidR="006337EC" w:rsidRDefault="006337EC" w:rsidP="006337EC">
      <w:pPr>
        <w:pStyle w:val="NoSpacing"/>
      </w:pPr>
      <w:r>
        <w:t>This testing is requested due to this</w:t>
      </w:r>
      <w:r w:rsidRPr="00AB2F4A">
        <w:t xml:space="preserve"> patient’s person</w:t>
      </w:r>
      <w:r w:rsidR="00855940">
        <w:t>al medical history, which includes the following clinical findings</w:t>
      </w:r>
      <w:r w:rsidRPr="00AB2F4A">
        <w:t xml:space="preserve">:  </w:t>
      </w:r>
    </w:p>
    <w:p w:rsidR="006337EC" w:rsidRPr="00AB2F4A" w:rsidRDefault="006337EC" w:rsidP="006337EC">
      <w:pPr>
        <w:pStyle w:val="NoSpacing"/>
      </w:pP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Default="006337EC" w:rsidP="00AB2F4A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Add Phenotype</w:t>
      </w:r>
    </w:p>
    <w:p w:rsidR="00855940" w:rsidRDefault="00855940" w:rsidP="00855940">
      <w:pPr>
        <w:pStyle w:val="NoSpacing"/>
        <w:rPr>
          <w:color w:val="FF0000"/>
        </w:rPr>
      </w:pPr>
    </w:p>
    <w:p w:rsidR="00855940" w:rsidRDefault="00855940" w:rsidP="00855940">
      <w:pPr>
        <w:pStyle w:val="NoSpacing"/>
      </w:pPr>
      <w:r>
        <w:t xml:space="preserve">The patient’s family history is </w:t>
      </w:r>
      <w:r w:rsidRPr="00855940">
        <w:rPr>
          <w:color w:val="FF0000"/>
        </w:rPr>
        <w:t>negative</w:t>
      </w:r>
      <w:r>
        <w:rPr>
          <w:color w:val="FF0000"/>
        </w:rPr>
        <w:t xml:space="preserve"> for related conditions</w:t>
      </w:r>
      <w:r w:rsidRPr="00855940">
        <w:rPr>
          <w:color w:val="FF0000"/>
        </w:rPr>
        <w:t xml:space="preserve"> / unknown / remarkable for the following </w:t>
      </w:r>
      <w:r>
        <w:rPr>
          <w:color w:val="FF0000"/>
        </w:rPr>
        <w:t xml:space="preserve">related clinical features: </w:t>
      </w:r>
    </w:p>
    <w:p w:rsidR="00ED14F6" w:rsidRDefault="00ED14F6" w:rsidP="00855940">
      <w:pPr>
        <w:pStyle w:val="NoSpacing"/>
      </w:pPr>
    </w:p>
    <w:p w:rsidR="00ED14F6" w:rsidRDefault="00ED14F6" w:rsidP="00855940">
      <w:pPr>
        <w:pStyle w:val="NoSpacing"/>
        <w:rPr>
          <w:color w:val="FF0000"/>
        </w:rPr>
      </w:pPr>
      <w:r>
        <w:rPr>
          <w:color w:val="FF0000"/>
        </w:rPr>
        <w:t>The patient has previously had the following uninformative genetic and other testing: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Pr="00301F9D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205DB4" w:rsidRDefault="00205DB4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>Clinical Evidence and Guidelines for Testing</w:t>
      </w:r>
    </w:p>
    <w:p w:rsidR="0071491F" w:rsidRDefault="0064562A" w:rsidP="00AB2F4A">
      <w:pPr>
        <w:pStyle w:val="NoSpacing"/>
      </w:pPr>
      <w:r w:rsidRPr="0064562A">
        <w:t>The American College of Medical Genetics and</w:t>
      </w:r>
      <w:r>
        <w:t xml:space="preserve"> Genomics (ACMG) recommends</w:t>
      </w:r>
      <w:r w:rsidR="001109B6">
        <w:t xml:space="preserve"> </w:t>
      </w:r>
      <w:r w:rsidR="008569AB">
        <w:t>exome sequencing for patients wit</w:t>
      </w:r>
      <w:r w:rsidR="001109B6">
        <w:t>h a disorder that has a suspected genetic etiology</w:t>
      </w:r>
      <w:r w:rsidR="008569AB">
        <w:t xml:space="preserve"> when </w:t>
      </w:r>
      <w:r w:rsidRPr="0064562A">
        <w:t>the patient’s phenotype is not consistent with a specific disorder that has more targeted genetic testing currently available, the testing currently available for the patient’s phenotype has failed to arrive at a diagnosis, or the suspected genetic condition is associated with a high degree of genetic heterogeneity.</w:t>
      </w:r>
      <w:r w:rsidR="0073022E">
        <w:rPr>
          <w:vertAlign w:val="superscript"/>
        </w:rPr>
        <w:t>1</w:t>
      </w:r>
      <w:r w:rsidR="0073022E">
        <w:t xml:space="preserve">  </w:t>
      </w:r>
    </w:p>
    <w:p w:rsidR="00DE6040" w:rsidRDefault="00DE6040" w:rsidP="00AB2F4A">
      <w:pPr>
        <w:pStyle w:val="NoSpacing"/>
      </w:pPr>
    </w:p>
    <w:p w:rsidR="00855940" w:rsidRDefault="00DE6040" w:rsidP="00AB2F4A">
      <w:pPr>
        <w:pStyle w:val="NoSpacing"/>
      </w:pPr>
      <w:r>
        <w:lastRenderedPageBreak/>
        <w:t>O</w:t>
      </w:r>
      <w:r w:rsidR="0071491F">
        <w:t>verall</w:t>
      </w:r>
      <w:r>
        <w:t>,</w:t>
      </w:r>
      <w:r w:rsidR="0071491F">
        <w:t xml:space="preserve"> the diagnostic yield of exome sequencing </w:t>
      </w:r>
      <w:r w:rsidR="002A7478">
        <w:t xml:space="preserve">has been reported to range </w:t>
      </w:r>
      <w:r w:rsidR="0071491F">
        <w:t>from 25-37%</w:t>
      </w:r>
      <w:r>
        <w:t xml:space="preserve"> for individuals with a broad range of clinical phenotypes, specifically including neurodevelopmental disorders</w:t>
      </w:r>
      <w:r w:rsidR="00F9401A">
        <w:t>, epilepsy and other neurologic disorders,</w:t>
      </w:r>
      <w:r>
        <w:t xml:space="preserve"> </w:t>
      </w:r>
      <w:r w:rsidR="00F9401A">
        <w:t xml:space="preserve">multiple congenital anomalies, </w:t>
      </w:r>
      <w:r>
        <w:t xml:space="preserve">and </w:t>
      </w:r>
      <w:r w:rsidR="00B374A4">
        <w:t xml:space="preserve">other </w:t>
      </w:r>
      <w:r>
        <w:t>suspected monogenic disorders</w:t>
      </w:r>
      <w:r w:rsidR="0071491F">
        <w:t>.</w:t>
      </w:r>
      <w:r w:rsidR="0071491F">
        <w:rPr>
          <w:vertAlign w:val="superscript"/>
        </w:rPr>
        <w:t>2-6</w:t>
      </w:r>
      <w:r>
        <w:t xml:space="preserve">  </w:t>
      </w:r>
      <w:r w:rsidR="00855940">
        <w:t>The diagnostic yield is highest when parental samples or other relevant family members are included in the analysis.</w:t>
      </w:r>
      <w:r w:rsidR="00855940">
        <w:rPr>
          <w:vertAlign w:val="superscript"/>
        </w:rPr>
        <w:t>2-6</w:t>
      </w:r>
      <w:r w:rsidR="00855940">
        <w:t xml:space="preserve">  </w:t>
      </w:r>
    </w:p>
    <w:p w:rsidR="00855940" w:rsidRDefault="00855940" w:rsidP="00AB2F4A">
      <w:pPr>
        <w:pStyle w:val="NoSpacing"/>
      </w:pPr>
    </w:p>
    <w:p w:rsidR="0064562A" w:rsidRDefault="00F9401A" w:rsidP="00AB2F4A">
      <w:pPr>
        <w:pStyle w:val="NoSpacing"/>
      </w:pPr>
      <w:r>
        <w:t xml:space="preserve">A </w:t>
      </w:r>
      <w:r w:rsidR="00DE6040">
        <w:t>recent multidisciplinary consensus statement recommended exome sequencing as a first-tier genetic test for individuals with neurodevelopmental disorders</w:t>
      </w:r>
      <w:r>
        <w:t xml:space="preserve"> including intellectual disability, global developmental delay, and autism spectrum disorder due to the high diagnostic yield</w:t>
      </w:r>
      <w:r w:rsidR="00DE6040">
        <w:t>.</w:t>
      </w:r>
      <w:r w:rsidR="00DE6040">
        <w:rPr>
          <w:vertAlign w:val="superscript"/>
        </w:rPr>
        <w:t>2</w:t>
      </w:r>
      <w:r w:rsidR="00DE6040">
        <w:t xml:space="preserve">  Multiple studies have found that exome sequencing is</w:t>
      </w:r>
      <w:r w:rsidR="0071491F">
        <w:t xml:space="preserve"> more cost effective than traditional testing approaches </w:t>
      </w:r>
      <w:r w:rsidR="00433DFB">
        <w:t>such as</w:t>
      </w:r>
      <w:r w:rsidR="0071491F">
        <w:t xml:space="preserve"> sequential single gene testing, multi-gene panels, </w:t>
      </w:r>
      <w:r w:rsidR="00DE6040">
        <w:t xml:space="preserve">serial imaging, biopsies, </w:t>
      </w:r>
      <w:r w:rsidR="0071491F">
        <w:t>and oth</w:t>
      </w:r>
      <w:r w:rsidR="00DE6040">
        <w:t>er diagnostic approaches</w:t>
      </w:r>
      <w:r w:rsidR="002A7478">
        <w:t>, and is most cost-effective when done early in the testing process</w:t>
      </w:r>
      <w:r w:rsidR="0071491F">
        <w:t>.</w:t>
      </w:r>
      <w:r w:rsidR="00DE6040">
        <w:rPr>
          <w:vertAlign w:val="superscript"/>
        </w:rPr>
        <w:t>7-</w:t>
      </w:r>
      <w:r w:rsidR="002A7478">
        <w:rPr>
          <w:vertAlign w:val="superscript"/>
        </w:rPr>
        <w:t>12</w:t>
      </w:r>
      <w:r w:rsidR="002A7478">
        <w:t xml:space="preserve">  </w:t>
      </w:r>
    </w:p>
    <w:p w:rsidR="00F9401A" w:rsidRDefault="00F9401A" w:rsidP="00AB2F4A">
      <w:pPr>
        <w:pStyle w:val="NoSpacing"/>
      </w:pPr>
    </w:p>
    <w:p w:rsidR="00F9401A" w:rsidRPr="006337EC" w:rsidRDefault="00F9401A" w:rsidP="00AB2F4A">
      <w:pPr>
        <w:pStyle w:val="NoSpacing"/>
      </w:pPr>
      <w:r>
        <w:t xml:space="preserve">In addition to exome sequencing, this test includes </w:t>
      </w:r>
      <w:r w:rsidR="000E13FB">
        <w:t xml:space="preserve">Next Generation </w:t>
      </w:r>
      <w:r>
        <w:t>sequence analysis and deletion testing of the mitochondrial DNA (</w:t>
      </w:r>
      <w:proofErr w:type="spellStart"/>
      <w:r>
        <w:t>mtDNA</w:t>
      </w:r>
      <w:proofErr w:type="spellEnd"/>
      <w:r>
        <w:t>)</w:t>
      </w:r>
      <w:r w:rsidR="006337EC">
        <w:t xml:space="preserve"> to evaluate</w:t>
      </w:r>
      <w:r w:rsidR="006337EC">
        <w:rPr>
          <w:rFonts w:cs="Calibri"/>
        </w:rPr>
        <w:t xml:space="preserve"> for primary mitochondrial disorders, which are clinically heterogeneous and can present at any age.</w:t>
      </w:r>
      <w:r w:rsidR="006337EC">
        <w:t xml:space="preserve"> </w:t>
      </w:r>
      <w:r w:rsidR="000E13FB">
        <w:t>A consensus statement from the Mitochondrial Medicine Society recommends Next Generation sequence analysis wi</w:t>
      </w:r>
      <w:r w:rsidR="006337EC">
        <w:t>th deletion/duplication testing</w:t>
      </w:r>
      <w:r w:rsidR="000E13FB">
        <w:t xml:space="preserve"> as the preferred testing methodology for patients with suspected mitochondrial disorders.</w:t>
      </w:r>
      <w:r w:rsidR="002A7478">
        <w:rPr>
          <w:vertAlign w:val="superscript"/>
        </w:rPr>
        <w:t>13</w:t>
      </w:r>
      <w:r w:rsidR="002A7478">
        <w:t xml:space="preserve"> </w:t>
      </w:r>
      <w:r w:rsidR="006337EC">
        <w:t>This testing</w:t>
      </w:r>
      <w:r w:rsidRPr="006337EC">
        <w:t xml:space="preserve"> is expected to identify a mitochondrial DNA variant in approximately 40% of adults and 10-20% of pediatric patients with a primary mitochondrial disorder.</w:t>
      </w:r>
      <w:r w:rsidR="002A7478">
        <w:rPr>
          <w:vertAlign w:val="superscript"/>
        </w:rPr>
        <w:t>14</w:t>
      </w:r>
      <w:proofErr w:type="gramStart"/>
      <w:r w:rsidR="002A7478">
        <w:rPr>
          <w:vertAlign w:val="superscript"/>
        </w:rPr>
        <w:t>,15</w:t>
      </w:r>
      <w:proofErr w:type="gramEnd"/>
    </w:p>
    <w:p w:rsidR="00653661" w:rsidRDefault="00653661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 xml:space="preserve">Patient Clinical Utility and </w:t>
      </w:r>
      <w:r w:rsidR="00B374A4" w:rsidRPr="00B374A4">
        <w:rPr>
          <w:b/>
        </w:rPr>
        <w:t>Medical Management</w:t>
      </w:r>
      <w:r w:rsidR="00B374A4">
        <w:rPr>
          <w:b/>
        </w:rPr>
        <w:t xml:space="preserve"> Implications</w:t>
      </w:r>
      <w:r w:rsidR="00B374A4" w:rsidRPr="00B374A4">
        <w:rPr>
          <w:b/>
        </w:rPr>
        <w:t xml:space="preserve"> </w:t>
      </w:r>
    </w:p>
    <w:p w:rsidR="00E04C9D" w:rsidRDefault="00B27690" w:rsidP="00AB2F4A">
      <w:pPr>
        <w:pStyle w:val="NoSpacing"/>
      </w:pPr>
      <w:r>
        <w:t xml:space="preserve">The </w:t>
      </w:r>
      <w:r w:rsidR="00D17422">
        <w:t xml:space="preserve">test </w:t>
      </w:r>
      <w:r>
        <w:t>results</w:t>
      </w:r>
      <w:r w:rsidR="00F339A7" w:rsidRPr="00AB2F4A">
        <w:t xml:space="preserve"> will guide</w:t>
      </w:r>
      <w:r w:rsidR="00E04C9D" w:rsidRPr="00AB2F4A">
        <w:t xml:space="preserve"> and tailor</w:t>
      </w:r>
      <w:r w:rsidR="00F339A7" w:rsidRPr="00AB2F4A">
        <w:t xml:space="preserve"> appropriate medical management </w:t>
      </w:r>
      <w:r w:rsidR="00D17422">
        <w:t xml:space="preserve">and treatment </w:t>
      </w:r>
      <w:r w:rsidR="00F339A7" w:rsidRPr="00AB2F4A">
        <w:t>for this patient</w:t>
      </w:r>
      <w:r w:rsidR="00F9401A">
        <w:t>, which</w:t>
      </w:r>
      <w:r w:rsidR="00FB611B">
        <w:t xml:space="preserve"> would not be possible without this testing</w:t>
      </w:r>
      <w:r w:rsidR="00F339A7" w:rsidRPr="00AB2F4A">
        <w:t>.</w:t>
      </w:r>
      <w:r w:rsidR="00E04C9D" w:rsidRPr="00AB2F4A">
        <w:t xml:space="preserve">  </w:t>
      </w:r>
      <w:r w:rsidR="00776731">
        <w:t>E</w:t>
      </w:r>
      <w:r w:rsidR="00465837">
        <w:t>xome sequencing</w:t>
      </w:r>
      <w:r w:rsidR="00465837" w:rsidRPr="00632161">
        <w:t xml:space="preserve"> </w:t>
      </w:r>
      <w:r w:rsidR="00776731">
        <w:t xml:space="preserve">can </w:t>
      </w:r>
      <w:r w:rsidR="00465837" w:rsidRPr="00632161">
        <w:t>lead to direct changes in me</w:t>
      </w:r>
      <w:r>
        <w:t>dical management, including modifications to medications</w:t>
      </w:r>
      <w:r w:rsidR="00465837" w:rsidRPr="00632161">
        <w:t>, surgical interventions, surveillance regimens, or preventative measures</w:t>
      </w:r>
      <w:r w:rsidR="00465837">
        <w:t xml:space="preserve"> </w:t>
      </w:r>
      <w:r>
        <w:t>that may be life-saving</w:t>
      </w:r>
      <w:r w:rsidR="00776731">
        <w:t>,</w:t>
      </w:r>
      <w:r>
        <w:t xml:space="preserve"> and </w:t>
      </w:r>
      <w:r w:rsidR="00776731">
        <w:t>can eliminate</w:t>
      </w:r>
      <w:r>
        <w:t xml:space="preserve"> the need for other expensive and often invasive diagnostic procedures.</w:t>
      </w:r>
      <w:r w:rsidRPr="00B27690">
        <w:rPr>
          <w:vertAlign w:val="superscript"/>
        </w:rPr>
        <w:t xml:space="preserve"> </w:t>
      </w:r>
      <w:r>
        <w:rPr>
          <w:vertAlign w:val="superscript"/>
        </w:rPr>
        <w:t>8-10</w:t>
      </w:r>
      <w:proofErr w:type="gramStart"/>
      <w:r>
        <w:rPr>
          <w:vertAlign w:val="superscript"/>
        </w:rPr>
        <w:t>,</w:t>
      </w:r>
      <w:r w:rsidR="002A7478">
        <w:rPr>
          <w:vertAlign w:val="superscript"/>
        </w:rPr>
        <w:t>13</w:t>
      </w:r>
      <w:proofErr w:type="gramEnd"/>
      <w:r w:rsidR="002A7478">
        <w:t xml:space="preserve">    </w:t>
      </w:r>
    </w:p>
    <w:p w:rsidR="00887B41" w:rsidRDefault="00887B41" w:rsidP="00AB2F4A">
      <w:pPr>
        <w:pStyle w:val="NoSpacing"/>
      </w:pPr>
    </w:p>
    <w:p w:rsidR="00887B41" w:rsidRPr="00887B41" w:rsidRDefault="00887B41" w:rsidP="00AB2F4A">
      <w:pPr>
        <w:pStyle w:val="NoSpacing"/>
        <w:rPr>
          <w:color w:val="FF0000"/>
        </w:rPr>
      </w:pPr>
      <w:r>
        <w:rPr>
          <w:color w:val="FF0000"/>
        </w:rPr>
        <w:t xml:space="preserve">Specifically for this patient, the results of exome sequencing will also </w:t>
      </w:r>
      <w:r w:rsidR="00535623">
        <w:rPr>
          <w:color w:val="FF0000"/>
        </w:rPr>
        <w:t>{</w:t>
      </w:r>
      <w:r>
        <w:rPr>
          <w:color w:val="FF0000"/>
        </w:rPr>
        <w:t>ADD ADDITIONAL INFORMATION}</w:t>
      </w:r>
    </w:p>
    <w:p w:rsidR="00B27690" w:rsidRDefault="00B27690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>Summary</w:t>
      </w:r>
    </w:p>
    <w:p w:rsidR="00AB2F4A" w:rsidRDefault="00AB2F4A" w:rsidP="00AB2F4A">
      <w:pPr>
        <w:pStyle w:val="NoSpacing"/>
      </w:pPr>
      <w:r w:rsidRPr="00AB2F4A">
        <w:t xml:space="preserve">The </w:t>
      </w:r>
      <w:proofErr w:type="spellStart"/>
      <w:r w:rsidR="00342070" w:rsidRPr="00253146">
        <w:t>XomeDx</w:t>
      </w:r>
      <w:r w:rsidR="00342070">
        <w:t>Plus</w:t>
      </w:r>
      <w:proofErr w:type="spellEnd"/>
      <w:r w:rsidR="00342070" w:rsidRPr="00253146">
        <w:t xml:space="preserve"> Exome Sequencing</w:t>
      </w:r>
      <w:r w:rsidR="00342070">
        <w:t xml:space="preserve"> with Mitochondrial Genome Sequencing</w:t>
      </w:r>
      <w:r w:rsidRPr="00AB2F4A">
        <w:rPr>
          <w:color w:val="FF0000"/>
        </w:rPr>
        <w:t xml:space="preserve"> </w:t>
      </w:r>
      <w:r w:rsidRPr="00AB2F4A">
        <w:t>at GeneD</w:t>
      </w:r>
      <w:r w:rsidR="00342070">
        <w:t xml:space="preserve">x is a highly sensitive </w:t>
      </w:r>
      <w:r w:rsidRPr="00AB2F4A">
        <w:t>and cost-effective geneti</w:t>
      </w:r>
      <w:r w:rsidR="00342070">
        <w:t>c test</w:t>
      </w:r>
      <w:r w:rsidRPr="00AB2F4A">
        <w:t xml:space="preserve">.  </w:t>
      </w:r>
      <w:r w:rsidR="00FB3BE6" w:rsidRPr="00AB2F4A">
        <w:t>I am requesting coverage for this medically necessary</w:t>
      </w:r>
      <w:r w:rsidR="00205DB4">
        <w:t xml:space="preserve"> test</w:t>
      </w:r>
      <w:r w:rsidR="00FB3BE6" w:rsidRPr="00AB2F4A">
        <w:t xml:space="preserve"> </w:t>
      </w:r>
      <w:r w:rsidR="00E04C9D" w:rsidRPr="00AB2F4A">
        <w:rPr>
          <w:color w:val="000000"/>
        </w:rPr>
        <w:t xml:space="preserve">in order to </w:t>
      </w:r>
      <w:r w:rsidR="00FB3BE6" w:rsidRPr="00AB2F4A">
        <w:rPr>
          <w:color w:val="000000"/>
        </w:rPr>
        <w:t>establish</w:t>
      </w:r>
      <w:r w:rsidR="00E04C9D" w:rsidRPr="00AB2F4A">
        <w:rPr>
          <w:color w:val="000000"/>
        </w:rPr>
        <w:t xml:space="preserve"> appropriate medical management for this patient.</w:t>
      </w:r>
      <w:r w:rsidR="00E04C9D" w:rsidRPr="00AB2F4A">
        <w:t xml:space="preserve">  Without testing, treatment would be suboptimal, subjecting this patient to increased morbidity and potentially early mortality.  </w:t>
      </w:r>
    </w:p>
    <w:p w:rsidR="00205DB4" w:rsidRPr="00AB2F4A" w:rsidRDefault="00205DB4" w:rsidP="00AB2F4A">
      <w:pPr>
        <w:pStyle w:val="NoSpacing"/>
      </w:pPr>
    </w:p>
    <w:p w:rsidR="00AB2F4A" w:rsidRDefault="00AB2F4A" w:rsidP="00AB2F4A">
      <w:pPr>
        <w:pStyle w:val="NoSpacing"/>
      </w:pPr>
      <w:r w:rsidRPr="00AB2F4A">
        <w:t xml:space="preserve">Thank you for your review and consideration.  If you have questions, or if I can be of further assistance, please do not hesitate to call me at </w:t>
      </w:r>
      <w:r w:rsidRPr="00AB2F4A">
        <w:rPr>
          <w:color w:val="FF0000"/>
        </w:rPr>
        <w:t>(XXX) XXX-XXXX</w:t>
      </w:r>
      <w:r>
        <w:t>.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  <w:r>
        <w:t>Sincerely,</w:t>
      </w:r>
    </w:p>
    <w:p w:rsidR="00205DB4" w:rsidRDefault="00205DB4" w:rsidP="00AB2F4A">
      <w:pPr>
        <w:pStyle w:val="NoSpacing"/>
      </w:pPr>
    </w:p>
    <w:p w:rsidR="00205DB4" w:rsidRPr="00205DB4" w:rsidRDefault="00342070" w:rsidP="00AB2F4A">
      <w:pPr>
        <w:pStyle w:val="NoSpacing"/>
        <w:rPr>
          <w:color w:val="FF0000"/>
        </w:rPr>
      </w:pPr>
      <w:r>
        <w:rPr>
          <w:color w:val="FF0000"/>
        </w:rPr>
        <w:t>Signature</w:t>
      </w:r>
    </w:p>
    <w:p w:rsidR="00205DB4" w:rsidRDefault="00205DB4" w:rsidP="00AB2F4A">
      <w:pPr>
        <w:pStyle w:val="NoSpacing"/>
        <w:rPr>
          <w:color w:val="FF0000"/>
        </w:rPr>
      </w:pPr>
      <w:r w:rsidRPr="00205DB4">
        <w:rPr>
          <w:color w:val="FF0000"/>
        </w:rPr>
        <w:t>Ordering Provider’</w:t>
      </w:r>
      <w:r>
        <w:rPr>
          <w:color w:val="FF0000"/>
        </w:rPr>
        <w:t xml:space="preserve">s Name </w:t>
      </w:r>
    </w:p>
    <w:p w:rsidR="00C247D1" w:rsidRDefault="00C247D1" w:rsidP="00AB2F4A">
      <w:pPr>
        <w:pStyle w:val="NoSpacing"/>
        <w:rPr>
          <w:color w:val="FF0000"/>
        </w:rPr>
      </w:pPr>
    </w:p>
    <w:p w:rsidR="00C247D1" w:rsidRDefault="00C247D1" w:rsidP="00AB2F4A">
      <w:pPr>
        <w:pStyle w:val="NoSpacing"/>
        <w:rPr>
          <w:color w:val="FF0000"/>
        </w:rPr>
      </w:pP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ACMG Board of Directors. ACMG Policy Statement: Points to consider in the clinical application of genomic sequencing.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2012 14(8):759-61.</w:t>
      </w:r>
      <w:r w:rsidR="002A7478">
        <w:rPr>
          <w:sz w:val="18"/>
          <w:szCs w:val="18"/>
        </w:rPr>
        <w:t xml:space="preserve"> (PMID: 22863877)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Srivastava </w:t>
      </w:r>
      <w:r w:rsidR="002A7478">
        <w:rPr>
          <w:sz w:val="18"/>
          <w:szCs w:val="18"/>
        </w:rPr>
        <w:t xml:space="preserve">S </w:t>
      </w:r>
      <w:r w:rsidRPr="003E2CA8">
        <w:rPr>
          <w:sz w:val="18"/>
          <w:szCs w:val="18"/>
        </w:rPr>
        <w:t xml:space="preserve">et al. Meta-analysis and multidisciplinary consensus statement: exome sequencing is a first-tier clinical </w:t>
      </w:r>
      <w:r w:rsidRPr="003E2CA8">
        <w:rPr>
          <w:sz w:val="18"/>
          <w:szCs w:val="18"/>
        </w:rPr>
        <w:lastRenderedPageBreak/>
        <w:t xml:space="preserve">diagnostic test for individuals with neurodevelopmental disorders.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2019 (PMID: 31182824)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Retterer K et al. Clinical application of whole-exome sequencing across clinical indications.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2016 18(7):696-704.</w:t>
      </w:r>
      <w:r w:rsidR="002A7478">
        <w:rPr>
          <w:sz w:val="18"/>
          <w:szCs w:val="18"/>
        </w:rPr>
        <w:t xml:space="preserve"> (PMID: 26633542)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Farwell KD et al. Enhanced utility of family-centered diagnostic exome sequencing with inheritance model-based analysis: results from 500 unselected families with undiagnosed genetic conditions. </w:t>
      </w:r>
      <w:r w:rsidRPr="003E2CA8">
        <w:rPr>
          <w:i/>
          <w:sz w:val="18"/>
          <w:szCs w:val="18"/>
        </w:rPr>
        <w:t xml:space="preserve">Genet Med. </w:t>
      </w:r>
      <w:r w:rsidRPr="003E2CA8">
        <w:rPr>
          <w:sz w:val="18"/>
          <w:szCs w:val="18"/>
        </w:rPr>
        <w:t>2015 17(7):578-86.</w:t>
      </w:r>
      <w:r w:rsidR="002A7478">
        <w:rPr>
          <w:sz w:val="18"/>
          <w:szCs w:val="18"/>
        </w:rPr>
        <w:t xml:space="preserve"> (PMID: 25356970)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Lee H et al. Clinical exome sequencing for genetic identification of rare Mendelian disorders. </w:t>
      </w:r>
      <w:r w:rsidRPr="003E2CA8">
        <w:rPr>
          <w:i/>
          <w:sz w:val="18"/>
          <w:szCs w:val="18"/>
        </w:rPr>
        <w:t>JAMA</w:t>
      </w:r>
      <w:r w:rsidRPr="003E2CA8">
        <w:rPr>
          <w:sz w:val="18"/>
          <w:szCs w:val="18"/>
        </w:rPr>
        <w:t>. 2014 312(18):1880-7.</w:t>
      </w:r>
      <w:r w:rsidR="002A7478">
        <w:rPr>
          <w:sz w:val="18"/>
          <w:szCs w:val="18"/>
        </w:rPr>
        <w:t xml:space="preserve"> (PMID: 25326637)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Yang Y et al. Molecular findings among patients referred for clinical whole-exome sequencing. </w:t>
      </w:r>
      <w:r w:rsidRPr="003E2CA8">
        <w:rPr>
          <w:i/>
          <w:sz w:val="18"/>
          <w:szCs w:val="18"/>
        </w:rPr>
        <w:t>JAMA</w:t>
      </w:r>
      <w:r w:rsidRPr="003E2CA8">
        <w:rPr>
          <w:sz w:val="18"/>
          <w:szCs w:val="18"/>
        </w:rPr>
        <w:t>. 2014 312(18):1870-9.</w:t>
      </w:r>
      <w:r w:rsidR="002A7478">
        <w:rPr>
          <w:sz w:val="18"/>
          <w:szCs w:val="18"/>
        </w:rPr>
        <w:t xml:space="preserve"> (PMID: 25326635)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Vrijenhoek</w:t>
      </w:r>
      <w:proofErr w:type="spellEnd"/>
      <w:r w:rsidR="00150F55">
        <w:rPr>
          <w:sz w:val="18"/>
          <w:szCs w:val="18"/>
        </w:rPr>
        <w:t xml:space="preserve"> T</w:t>
      </w:r>
      <w:r w:rsidRPr="003E2CA8">
        <w:rPr>
          <w:sz w:val="18"/>
          <w:szCs w:val="18"/>
        </w:rPr>
        <w:t xml:space="preserve"> et al. </w:t>
      </w:r>
      <w:r w:rsidR="00433DFB" w:rsidRPr="003E2CA8">
        <w:rPr>
          <w:sz w:val="18"/>
          <w:szCs w:val="18"/>
        </w:rPr>
        <w:t xml:space="preserve">Whole-exome sequencing in intellectual disability; cost before and after a diagnosis. </w:t>
      </w:r>
      <w:r w:rsidR="001109B6" w:rsidRPr="003E2CA8">
        <w:rPr>
          <w:i/>
          <w:sz w:val="18"/>
          <w:szCs w:val="18"/>
        </w:rPr>
        <w:t>Eur. J. Hum. Genet.</w:t>
      </w:r>
      <w:r w:rsidR="001109B6" w:rsidRPr="003E2CA8">
        <w:rPr>
          <w:sz w:val="18"/>
          <w:szCs w:val="18"/>
        </w:rPr>
        <w:t xml:space="preserve"> 2019 </w:t>
      </w:r>
      <w:r w:rsidRPr="003E2CA8">
        <w:rPr>
          <w:sz w:val="18"/>
          <w:szCs w:val="18"/>
        </w:rPr>
        <w:t>26 (11):1566-1571 (PMID: 29959382)</w:t>
      </w:r>
    </w:p>
    <w:p w:rsidR="002414B7" w:rsidRPr="003E2CA8" w:rsidRDefault="002414B7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Tan </w:t>
      </w:r>
      <w:r w:rsidR="00150F55">
        <w:rPr>
          <w:sz w:val="18"/>
          <w:szCs w:val="18"/>
        </w:rPr>
        <w:t xml:space="preserve">TY </w:t>
      </w:r>
      <w:r w:rsidRPr="003E2CA8">
        <w:rPr>
          <w:sz w:val="18"/>
          <w:szCs w:val="18"/>
        </w:rPr>
        <w:t xml:space="preserve">et al. Diagnostic Impact and Cost-effectiveness of Whole-Exome Sequencing for Ambulant Children </w:t>
      </w:r>
      <w:r w:rsidR="00150F55">
        <w:rPr>
          <w:sz w:val="18"/>
          <w:szCs w:val="18"/>
        </w:rPr>
        <w:t>w</w:t>
      </w:r>
      <w:r w:rsidRPr="003E2CA8">
        <w:rPr>
          <w:sz w:val="18"/>
          <w:szCs w:val="18"/>
        </w:rPr>
        <w:t xml:space="preserve">ith Suspected Monogenic Conditions. </w:t>
      </w:r>
      <w:r w:rsidRPr="003E2CA8">
        <w:rPr>
          <w:i/>
          <w:sz w:val="18"/>
          <w:szCs w:val="18"/>
        </w:rPr>
        <w:t xml:space="preserve">JAMA </w:t>
      </w:r>
      <w:proofErr w:type="spellStart"/>
      <w:r w:rsidRPr="003E2CA8">
        <w:rPr>
          <w:i/>
          <w:sz w:val="18"/>
          <w:szCs w:val="18"/>
        </w:rPr>
        <w:t>Pediatr</w:t>
      </w:r>
      <w:proofErr w:type="spellEnd"/>
      <w:r w:rsidRPr="003E2CA8">
        <w:rPr>
          <w:sz w:val="18"/>
          <w:szCs w:val="18"/>
        </w:rPr>
        <w:t xml:space="preserve"> 2017 171 (9):855-862 (PMID: 28759686)</w:t>
      </w:r>
    </w:p>
    <w:p w:rsidR="001109B6" w:rsidRPr="003E2CA8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Vissers</w:t>
      </w:r>
      <w:proofErr w:type="spellEnd"/>
      <w:r w:rsidRPr="003E2CA8">
        <w:rPr>
          <w:sz w:val="18"/>
          <w:szCs w:val="18"/>
        </w:rPr>
        <w:t xml:space="preserve"> et al. A clinical utility study of exome sequencing versus conventional genetic testing in pediatric neurology.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2017 19 (9):1055-1063 (PMID: 28333917)</w:t>
      </w:r>
    </w:p>
    <w:p w:rsidR="001109B6" w:rsidRPr="003E2CA8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Stark Z et al. A prospective evaluation of whole-exome sequencing as a first-tier molecular test in infants with suspected monogenic disorders. </w:t>
      </w:r>
      <w:r w:rsidRPr="003E2CA8">
        <w:rPr>
          <w:i/>
          <w:sz w:val="18"/>
          <w:szCs w:val="18"/>
        </w:rPr>
        <w:t>Genet Med</w:t>
      </w:r>
      <w:r w:rsidRPr="003E2CA8">
        <w:rPr>
          <w:sz w:val="18"/>
          <w:szCs w:val="18"/>
        </w:rPr>
        <w:t>. 2016 Nov 18(11):1090-1096.</w:t>
      </w:r>
      <w:r w:rsidR="00150F55">
        <w:rPr>
          <w:sz w:val="18"/>
          <w:szCs w:val="18"/>
        </w:rPr>
        <w:t xml:space="preserve"> (PMID: 26938784)</w:t>
      </w:r>
    </w:p>
    <w:p w:rsidR="001109B6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>Stark</w:t>
      </w:r>
      <w:r w:rsidR="00150F55">
        <w:rPr>
          <w:sz w:val="18"/>
          <w:szCs w:val="18"/>
        </w:rPr>
        <w:t xml:space="preserve"> Z</w:t>
      </w:r>
      <w:r w:rsidRPr="003E2CA8">
        <w:rPr>
          <w:sz w:val="18"/>
          <w:szCs w:val="18"/>
        </w:rPr>
        <w:t xml:space="preserve"> et al. Prospective comparison of the cost-effectiveness of clinical whole-exome sequencing with that of usual care overwhelmingly supports early use and reimbursement.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2017 19 (8):867-874.</w:t>
      </w:r>
      <w:r w:rsidR="00150F55">
        <w:rPr>
          <w:sz w:val="18"/>
          <w:szCs w:val="18"/>
        </w:rPr>
        <w:t xml:space="preserve"> (PMID: 28125081)</w:t>
      </w:r>
    </w:p>
    <w:p w:rsidR="002A7478" w:rsidRPr="002A7478" w:rsidRDefault="002A7478" w:rsidP="002A74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A7478">
        <w:rPr>
          <w:sz w:val="18"/>
          <w:szCs w:val="18"/>
        </w:rPr>
        <w:t xml:space="preserve">Monroe GR, </w:t>
      </w:r>
      <w:r>
        <w:rPr>
          <w:sz w:val="18"/>
          <w:szCs w:val="18"/>
        </w:rPr>
        <w:t>et al</w:t>
      </w:r>
      <w:r w:rsidRPr="002A747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Effectiveness of whole-exome sequencing and costs of the traditional diagnostic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trajectory in children with intellectual disability. Genet Med. 2016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18(9):949-56.</w:t>
      </w:r>
      <w:r w:rsidR="00150F55">
        <w:rPr>
          <w:sz w:val="18"/>
          <w:szCs w:val="18"/>
        </w:rPr>
        <w:t xml:space="preserve"> (PMID: 26845106)</w:t>
      </w:r>
    </w:p>
    <w:p w:rsidR="006337EC" w:rsidRPr="003E2CA8" w:rsidRDefault="006337EC" w:rsidP="006337E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E2CA8">
        <w:rPr>
          <w:sz w:val="18"/>
          <w:szCs w:val="18"/>
        </w:rPr>
        <w:t>Parikh</w:t>
      </w:r>
      <w:r w:rsidR="00150F55">
        <w:rPr>
          <w:sz w:val="18"/>
          <w:szCs w:val="18"/>
        </w:rPr>
        <w:t xml:space="preserve"> S</w:t>
      </w:r>
      <w:r w:rsidRPr="003E2CA8">
        <w:rPr>
          <w:sz w:val="18"/>
          <w:szCs w:val="18"/>
        </w:rPr>
        <w:t xml:space="preserve"> et al. Diagnosis and management of mitochondrial disease: a consensus statement from the Mitochondrial Medicine Society.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2015 17 (9):689-701 (PMID: 25503498)</w:t>
      </w:r>
    </w:p>
    <w:p w:rsidR="00652804" w:rsidRPr="003E2CA8" w:rsidRDefault="00652804" w:rsidP="00652804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Chinnery</w:t>
      </w:r>
      <w:proofErr w:type="spellEnd"/>
      <w:r w:rsidRPr="003E2CA8">
        <w:rPr>
          <w:sz w:val="18"/>
          <w:szCs w:val="18"/>
        </w:rPr>
        <w:t xml:space="preserve"> </w:t>
      </w:r>
      <w:r w:rsidR="00150F55">
        <w:rPr>
          <w:sz w:val="18"/>
          <w:szCs w:val="18"/>
        </w:rPr>
        <w:t xml:space="preserve">P </w:t>
      </w:r>
      <w:r w:rsidRPr="003E2CA8">
        <w:rPr>
          <w:sz w:val="18"/>
          <w:szCs w:val="18"/>
        </w:rPr>
        <w:t xml:space="preserve">et al. Treatment for mitochondrial disorders.  </w:t>
      </w:r>
      <w:r w:rsidRPr="003E2CA8">
        <w:rPr>
          <w:i/>
          <w:sz w:val="18"/>
          <w:szCs w:val="18"/>
        </w:rPr>
        <w:t xml:space="preserve">Cochrane Database </w:t>
      </w:r>
      <w:proofErr w:type="spellStart"/>
      <w:r w:rsidRPr="003E2CA8">
        <w:rPr>
          <w:i/>
          <w:sz w:val="18"/>
          <w:szCs w:val="18"/>
        </w:rPr>
        <w:t>Syst</w:t>
      </w:r>
      <w:proofErr w:type="spellEnd"/>
      <w:r w:rsidRPr="003E2CA8">
        <w:rPr>
          <w:i/>
          <w:sz w:val="18"/>
          <w:szCs w:val="18"/>
        </w:rPr>
        <w:t xml:space="preserve"> Rev</w:t>
      </w:r>
      <w:r w:rsidRPr="003E2CA8">
        <w:rPr>
          <w:sz w:val="18"/>
          <w:szCs w:val="18"/>
        </w:rPr>
        <w:t xml:space="preserve"> 2006 (1):CD004426 (PMID: 16437486)</w:t>
      </w:r>
    </w:p>
    <w:p w:rsidR="001109B6" w:rsidRPr="003E2CA8" w:rsidRDefault="00652804" w:rsidP="00652804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F1597A">
        <w:rPr>
          <w:sz w:val="18"/>
          <w:szCs w:val="18"/>
        </w:rPr>
        <w:t>Zeviani</w:t>
      </w:r>
      <w:proofErr w:type="spellEnd"/>
      <w:r w:rsidRPr="00F1597A">
        <w:rPr>
          <w:sz w:val="18"/>
          <w:szCs w:val="18"/>
        </w:rPr>
        <w:t xml:space="preserve"> </w:t>
      </w:r>
      <w:r w:rsidR="00150F55" w:rsidRPr="00F1597A">
        <w:rPr>
          <w:sz w:val="18"/>
          <w:szCs w:val="18"/>
        </w:rPr>
        <w:t xml:space="preserve">M </w:t>
      </w:r>
      <w:r w:rsidRPr="00F1597A">
        <w:rPr>
          <w:sz w:val="18"/>
          <w:szCs w:val="18"/>
        </w:rPr>
        <w:t xml:space="preserve">et al. Mitochondrial disorders. </w:t>
      </w:r>
      <w:r w:rsidRPr="003E2CA8">
        <w:rPr>
          <w:i/>
          <w:sz w:val="18"/>
          <w:szCs w:val="18"/>
        </w:rPr>
        <w:t>Brain</w:t>
      </w:r>
      <w:r w:rsidRPr="003E2CA8">
        <w:rPr>
          <w:sz w:val="18"/>
          <w:szCs w:val="18"/>
        </w:rPr>
        <w:t xml:space="preserve"> 2004 127 (Pt 10):2153-72 (PMID: 15358637)</w:t>
      </w:r>
    </w:p>
    <w:p w:rsidR="00C247D1" w:rsidRPr="0071491F" w:rsidRDefault="00C247D1" w:rsidP="00AB2F4A">
      <w:pPr>
        <w:pStyle w:val="NoSpacing"/>
      </w:pPr>
    </w:p>
    <w:sectPr w:rsidR="00C247D1" w:rsidRPr="0071491F" w:rsidSect="00AB2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9A9"/>
    <w:multiLevelType w:val="hybridMultilevel"/>
    <w:tmpl w:val="251C19B4"/>
    <w:lvl w:ilvl="0" w:tplc="2E1686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6B55"/>
    <w:multiLevelType w:val="hybridMultilevel"/>
    <w:tmpl w:val="D2E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27BFC"/>
    <w:multiLevelType w:val="hybridMultilevel"/>
    <w:tmpl w:val="6E9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9C"/>
    <w:multiLevelType w:val="hybridMultilevel"/>
    <w:tmpl w:val="F21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533"/>
    <w:multiLevelType w:val="hybridMultilevel"/>
    <w:tmpl w:val="AFB42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F3C70"/>
    <w:multiLevelType w:val="hybridMultilevel"/>
    <w:tmpl w:val="B90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427B"/>
    <w:multiLevelType w:val="hybridMultilevel"/>
    <w:tmpl w:val="71B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373E"/>
    <w:multiLevelType w:val="hybridMultilevel"/>
    <w:tmpl w:val="279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7767"/>
    <w:multiLevelType w:val="hybridMultilevel"/>
    <w:tmpl w:val="0AD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6"/>
    <w:rsid w:val="000B50A3"/>
    <w:rsid w:val="000D05E6"/>
    <w:rsid w:val="000E13FB"/>
    <w:rsid w:val="001109B6"/>
    <w:rsid w:val="00150F55"/>
    <w:rsid w:val="00205DB4"/>
    <w:rsid w:val="002414B7"/>
    <w:rsid w:val="00253146"/>
    <w:rsid w:val="002A7478"/>
    <w:rsid w:val="002D0B92"/>
    <w:rsid w:val="00301F9D"/>
    <w:rsid w:val="00342070"/>
    <w:rsid w:val="003B5586"/>
    <w:rsid w:val="003D0EA6"/>
    <w:rsid w:val="003E2CA8"/>
    <w:rsid w:val="00433DFB"/>
    <w:rsid w:val="00465837"/>
    <w:rsid w:val="00535623"/>
    <w:rsid w:val="00543EEA"/>
    <w:rsid w:val="005B76FB"/>
    <w:rsid w:val="006337EC"/>
    <w:rsid w:val="0064562A"/>
    <w:rsid w:val="00652804"/>
    <w:rsid w:val="00653661"/>
    <w:rsid w:val="0071491F"/>
    <w:rsid w:val="0073022E"/>
    <w:rsid w:val="00776731"/>
    <w:rsid w:val="00855940"/>
    <w:rsid w:val="008569AB"/>
    <w:rsid w:val="008706C4"/>
    <w:rsid w:val="00887B41"/>
    <w:rsid w:val="008E7C39"/>
    <w:rsid w:val="00900219"/>
    <w:rsid w:val="00921AF4"/>
    <w:rsid w:val="00AB2F4A"/>
    <w:rsid w:val="00B27690"/>
    <w:rsid w:val="00B374A4"/>
    <w:rsid w:val="00B42759"/>
    <w:rsid w:val="00B82599"/>
    <w:rsid w:val="00BE244D"/>
    <w:rsid w:val="00C247D1"/>
    <w:rsid w:val="00D17422"/>
    <w:rsid w:val="00D66DD8"/>
    <w:rsid w:val="00D96FE2"/>
    <w:rsid w:val="00DB690F"/>
    <w:rsid w:val="00DE6040"/>
    <w:rsid w:val="00E04C9D"/>
    <w:rsid w:val="00ED14F6"/>
    <w:rsid w:val="00F1597A"/>
    <w:rsid w:val="00F339A7"/>
    <w:rsid w:val="00F74480"/>
    <w:rsid w:val="00F9401A"/>
    <w:rsid w:val="00FB3BE6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95E7-3817-4318-B43D-24CE7CC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BioReference Laboratories Inc.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Raymond Jubela</cp:lastModifiedBy>
  <cp:revision>2</cp:revision>
  <dcterms:created xsi:type="dcterms:W3CDTF">2019-10-15T19:10:00Z</dcterms:created>
  <dcterms:modified xsi:type="dcterms:W3CDTF">2019-10-15T19:10:00Z</dcterms:modified>
</cp:coreProperties>
</file>