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E6" w:rsidRPr="00656BF3" w:rsidRDefault="003D0EA6" w:rsidP="00205DB4">
      <w:pPr>
        <w:pStyle w:val="NoSpacing"/>
        <w:jc w:val="center"/>
        <w:rPr>
          <w:rFonts w:cstheme="minorHAnsi"/>
          <w:b/>
        </w:rPr>
      </w:pPr>
      <w:bookmarkStart w:id="0" w:name="_GoBack"/>
      <w:bookmarkEnd w:id="0"/>
      <w:r w:rsidRPr="00656BF3">
        <w:rPr>
          <w:rFonts w:cstheme="minorHAnsi"/>
          <w:b/>
        </w:rPr>
        <w:t>Letter of Medical Necessi</w:t>
      </w:r>
      <w:r w:rsidR="00503AB6" w:rsidRPr="00656BF3">
        <w:rPr>
          <w:rFonts w:cstheme="minorHAnsi"/>
          <w:b/>
        </w:rPr>
        <w:t>ty for Chromosomal Microarray</w:t>
      </w:r>
    </w:p>
    <w:p w:rsidR="00AB2F4A" w:rsidRPr="00656BF3" w:rsidRDefault="00AB2F4A" w:rsidP="00AB2F4A">
      <w:pPr>
        <w:pStyle w:val="NoSpacing"/>
        <w:rPr>
          <w:rFonts w:cstheme="minorHAnsi"/>
          <w:color w:val="FF0000"/>
        </w:rPr>
      </w:pPr>
    </w:p>
    <w:p w:rsidR="00AB2F4A" w:rsidRPr="00656BF3" w:rsidRDefault="00AB2F4A" w:rsidP="00AB2F4A">
      <w:pPr>
        <w:pStyle w:val="NoSpacing"/>
        <w:rPr>
          <w:rFonts w:cstheme="minorHAnsi"/>
          <w:color w:val="FF0000"/>
        </w:rPr>
      </w:pPr>
    </w:p>
    <w:p w:rsidR="00205DB4" w:rsidRPr="00656BF3" w:rsidRDefault="00205DB4" w:rsidP="00AB2F4A">
      <w:pPr>
        <w:pStyle w:val="NoSpacing"/>
        <w:rPr>
          <w:rFonts w:cstheme="minorHAnsi"/>
          <w:color w:val="FF0000"/>
        </w:rPr>
        <w:sectPr w:rsidR="00205DB4" w:rsidRPr="00656BF3">
          <w:pgSz w:w="12240" w:h="15840"/>
          <w:pgMar w:top="1440" w:right="1440" w:bottom="1440" w:left="1440" w:header="720" w:footer="720" w:gutter="0"/>
          <w:cols w:space="720"/>
          <w:docGrid w:linePitch="360"/>
        </w:sectPr>
      </w:pPr>
    </w:p>
    <w:p w:rsidR="00253146" w:rsidRPr="00656BF3" w:rsidRDefault="00253146" w:rsidP="00AB2F4A">
      <w:pPr>
        <w:pStyle w:val="NoSpacing"/>
        <w:rPr>
          <w:rFonts w:cstheme="minorHAnsi"/>
          <w:b/>
          <w:u w:val="single"/>
        </w:rPr>
      </w:pPr>
      <w:r w:rsidRPr="00656BF3">
        <w:rPr>
          <w:rFonts w:cstheme="minorHAnsi"/>
          <w:b/>
          <w:u w:val="single"/>
        </w:rPr>
        <w:t>Patient Information</w:t>
      </w:r>
    </w:p>
    <w:p w:rsidR="003D0EA6" w:rsidRPr="00656BF3" w:rsidRDefault="003D0EA6" w:rsidP="00AB2F4A">
      <w:pPr>
        <w:pStyle w:val="NoSpacing"/>
        <w:rPr>
          <w:rFonts w:cstheme="minorHAnsi"/>
          <w:b/>
          <w:color w:val="FF0000"/>
        </w:rPr>
      </w:pPr>
      <w:r w:rsidRPr="00656BF3">
        <w:rPr>
          <w:rFonts w:cstheme="minorHAnsi"/>
          <w:b/>
          <w:color w:val="FF0000"/>
        </w:rPr>
        <w:t>Date:</w:t>
      </w:r>
    </w:p>
    <w:p w:rsidR="003D0EA6" w:rsidRPr="00656BF3" w:rsidRDefault="003D0EA6" w:rsidP="00AB2F4A">
      <w:pPr>
        <w:pStyle w:val="NoSpacing"/>
        <w:rPr>
          <w:rFonts w:cstheme="minorHAnsi"/>
          <w:b/>
          <w:color w:val="FF0000"/>
        </w:rPr>
      </w:pPr>
      <w:r w:rsidRPr="00656BF3">
        <w:rPr>
          <w:rFonts w:cstheme="minorHAnsi"/>
          <w:b/>
          <w:color w:val="FF0000"/>
        </w:rPr>
        <w:t>Patient Name:</w:t>
      </w:r>
    </w:p>
    <w:p w:rsidR="003D0EA6" w:rsidRPr="00656BF3" w:rsidRDefault="003D0EA6" w:rsidP="00AB2F4A">
      <w:pPr>
        <w:pStyle w:val="NoSpacing"/>
        <w:rPr>
          <w:rFonts w:cstheme="minorHAnsi"/>
          <w:b/>
          <w:color w:val="FF0000"/>
        </w:rPr>
      </w:pPr>
      <w:r w:rsidRPr="00656BF3">
        <w:rPr>
          <w:rFonts w:cstheme="minorHAnsi"/>
          <w:b/>
          <w:color w:val="FF0000"/>
        </w:rPr>
        <w:t>Patient DOB:</w:t>
      </w:r>
    </w:p>
    <w:p w:rsidR="003D0EA6" w:rsidRPr="00656BF3" w:rsidRDefault="003D0EA6" w:rsidP="00AB2F4A">
      <w:pPr>
        <w:pStyle w:val="NoSpacing"/>
        <w:rPr>
          <w:rFonts w:cstheme="minorHAnsi"/>
          <w:b/>
          <w:color w:val="FF0000"/>
        </w:rPr>
      </w:pPr>
      <w:r w:rsidRPr="00656BF3">
        <w:rPr>
          <w:rFonts w:cstheme="minorHAnsi"/>
          <w:b/>
          <w:color w:val="FF0000"/>
        </w:rPr>
        <w:t>Insurance Company</w:t>
      </w:r>
      <w:r w:rsidR="00B82599" w:rsidRPr="00656BF3">
        <w:rPr>
          <w:rFonts w:cstheme="minorHAnsi"/>
          <w:b/>
          <w:color w:val="FF0000"/>
        </w:rPr>
        <w:t xml:space="preserve"> Name, Address, City, State</w:t>
      </w:r>
      <w:r w:rsidRPr="00656BF3">
        <w:rPr>
          <w:rFonts w:cstheme="minorHAnsi"/>
          <w:b/>
          <w:color w:val="FF0000"/>
        </w:rPr>
        <w:t>:</w:t>
      </w:r>
    </w:p>
    <w:p w:rsidR="003D0EA6" w:rsidRPr="00656BF3" w:rsidRDefault="003D0EA6" w:rsidP="00AB2F4A">
      <w:pPr>
        <w:pStyle w:val="NoSpacing"/>
        <w:rPr>
          <w:rFonts w:cstheme="minorHAnsi"/>
          <w:b/>
          <w:color w:val="FF0000"/>
        </w:rPr>
      </w:pPr>
      <w:r w:rsidRPr="00656BF3">
        <w:rPr>
          <w:rFonts w:cstheme="minorHAnsi"/>
          <w:b/>
          <w:color w:val="FF0000"/>
        </w:rPr>
        <w:t>Policy Number</w:t>
      </w:r>
      <w:r w:rsidR="00253146" w:rsidRPr="00656BF3">
        <w:rPr>
          <w:rFonts w:cstheme="minorHAnsi"/>
          <w:b/>
          <w:color w:val="FF0000"/>
        </w:rPr>
        <w:t>:</w:t>
      </w:r>
    </w:p>
    <w:p w:rsidR="003D0EA6" w:rsidRPr="00656BF3" w:rsidRDefault="003D0EA6" w:rsidP="00AB2F4A">
      <w:pPr>
        <w:pStyle w:val="NoSpacing"/>
        <w:rPr>
          <w:rFonts w:cstheme="minorHAnsi"/>
          <w:b/>
          <w:color w:val="FF0000"/>
        </w:rPr>
      </w:pPr>
      <w:r w:rsidRPr="00656BF3">
        <w:rPr>
          <w:rFonts w:cstheme="minorHAnsi"/>
          <w:b/>
          <w:color w:val="FF0000"/>
        </w:rPr>
        <w:t>Group Number</w:t>
      </w:r>
      <w:r w:rsidR="00253146" w:rsidRPr="00656BF3">
        <w:rPr>
          <w:rFonts w:cstheme="minorHAnsi"/>
          <w:b/>
          <w:color w:val="FF0000"/>
        </w:rPr>
        <w:t>:</w:t>
      </w:r>
    </w:p>
    <w:p w:rsidR="00AB2F4A" w:rsidRPr="00656BF3" w:rsidRDefault="00B82599" w:rsidP="00AB2F4A">
      <w:pPr>
        <w:pStyle w:val="NoSpacing"/>
        <w:rPr>
          <w:rFonts w:cstheme="minorHAnsi"/>
          <w:color w:val="FF0000"/>
        </w:rPr>
      </w:pPr>
      <w:r w:rsidRPr="00656BF3">
        <w:rPr>
          <w:rFonts w:cstheme="minorHAnsi"/>
          <w:b/>
          <w:color w:val="FF0000"/>
        </w:rPr>
        <w:t>ICD10 Codes</w:t>
      </w:r>
      <w:r w:rsidR="00253146" w:rsidRPr="00656BF3">
        <w:rPr>
          <w:rFonts w:cstheme="minorHAnsi"/>
          <w:b/>
          <w:color w:val="FF0000"/>
        </w:rPr>
        <w:t>:</w:t>
      </w:r>
      <w:r w:rsidR="00921AF4" w:rsidRPr="00656BF3">
        <w:rPr>
          <w:rFonts w:cstheme="minorHAnsi"/>
          <w:color w:val="FF0000"/>
        </w:rPr>
        <w:t xml:space="preserve"> </w:t>
      </w:r>
    </w:p>
    <w:p w:rsidR="00205DB4" w:rsidRPr="00656BF3" w:rsidRDefault="00205DB4" w:rsidP="00AB2F4A">
      <w:pPr>
        <w:pStyle w:val="NoSpacing"/>
        <w:rPr>
          <w:rFonts w:cstheme="minorHAnsi"/>
        </w:rPr>
      </w:pPr>
    </w:p>
    <w:p w:rsidR="00205DB4" w:rsidRPr="00656BF3" w:rsidRDefault="00205DB4" w:rsidP="00AB2F4A">
      <w:pPr>
        <w:pStyle w:val="NoSpacing"/>
        <w:rPr>
          <w:rFonts w:cstheme="minorHAnsi"/>
        </w:rPr>
      </w:pPr>
    </w:p>
    <w:p w:rsidR="00F9401A" w:rsidRPr="00656BF3" w:rsidRDefault="00F9401A" w:rsidP="00AB2F4A">
      <w:pPr>
        <w:pStyle w:val="NoSpacing"/>
        <w:rPr>
          <w:rFonts w:cstheme="minorHAnsi"/>
        </w:rPr>
      </w:pPr>
    </w:p>
    <w:p w:rsidR="00205DB4" w:rsidRPr="00656BF3" w:rsidRDefault="00253146" w:rsidP="00AB2F4A">
      <w:pPr>
        <w:pStyle w:val="NoSpacing"/>
        <w:rPr>
          <w:rFonts w:cstheme="minorHAnsi"/>
          <w:b/>
          <w:u w:val="single"/>
        </w:rPr>
      </w:pPr>
      <w:r w:rsidRPr="00656BF3">
        <w:rPr>
          <w:rFonts w:cstheme="minorHAnsi"/>
          <w:b/>
          <w:u w:val="single"/>
        </w:rPr>
        <w:t>Test Information</w:t>
      </w:r>
    </w:p>
    <w:p w:rsidR="002D0B92" w:rsidRPr="00656BF3" w:rsidRDefault="002D0B92" w:rsidP="00AB2F4A">
      <w:pPr>
        <w:pStyle w:val="NoSpacing"/>
        <w:rPr>
          <w:rFonts w:cstheme="minorHAnsi"/>
        </w:rPr>
      </w:pPr>
      <w:r w:rsidRPr="00656BF3">
        <w:rPr>
          <w:rFonts w:cstheme="minorHAnsi"/>
          <w:b/>
        </w:rPr>
        <w:t>Test Name</w:t>
      </w:r>
      <w:r w:rsidR="00FB3BE6" w:rsidRPr="00656BF3">
        <w:rPr>
          <w:rFonts w:cstheme="minorHAnsi"/>
          <w:b/>
        </w:rPr>
        <w:t>:</w:t>
      </w:r>
      <w:r w:rsidR="00BE244D" w:rsidRPr="00656BF3">
        <w:rPr>
          <w:rFonts w:cstheme="minorHAnsi"/>
        </w:rPr>
        <w:t xml:space="preserve">  </w:t>
      </w:r>
      <w:r w:rsidR="00503AB6" w:rsidRPr="00656BF3">
        <w:rPr>
          <w:rFonts w:cstheme="minorHAnsi"/>
        </w:rPr>
        <w:t>Chromosomal Microarray</w:t>
      </w:r>
    </w:p>
    <w:p w:rsidR="00F9401A" w:rsidRPr="00656BF3" w:rsidRDefault="002D0B92" w:rsidP="00AB2F4A">
      <w:pPr>
        <w:pStyle w:val="NoSpacing"/>
        <w:rPr>
          <w:rFonts w:cstheme="minorHAnsi"/>
        </w:rPr>
      </w:pPr>
      <w:r w:rsidRPr="00656BF3">
        <w:rPr>
          <w:rFonts w:cstheme="minorHAnsi"/>
          <w:b/>
        </w:rPr>
        <w:t>CPT Codes</w:t>
      </w:r>
      <w:r w:rsidR="00FB3BE6" w:rsidRPr="00656BF3">
        <w:rPr>
          <w:rFonts w:cstheme="minorHAnsi"/>
          <w:b/>
        </w:rPr>
        <w:t>:</w:t>
      </w:r>
      <w:r w:rsidR="0064562A" w:rsidRPr="00656BF3">
        <w:rPr>
          <w:rFonts w:cstheme="minorHAnsi"/>
          <w:b/>
        </w:rPr>
        <w:t xml:space="preserve">  </w:t>
      </w:r>
      <w:r w:rsidR="00503AB6" w:rsidRPr="00656BF3">
        <w:rPr>
          <w:rFonts w:cstheme="minorHAnsi"/>
        </w:rPr>
        <w:t>81229x1</w:t>
      </w:r>
    </w:p>
    <w:p w:rsidR="008706C4" w:rsidRPr="00656BF3" w:rsidRDefault="00FB3BE6" w:rsidP="00AB2F4A">
      <w:pPr>
        <w:pStyle w:val="NoSpacing"/>
        <w:rPr>
          <w:rFonts w:cstheme="minorHAnsi"/>
          <w:b/>
        </w:rPr>
      </w:pPr>
      <w:r w:rsidRPr="00656BF3">
        <w:rPr>
          <w:rFonts w:cstheme="minorHAnsi"/>
          <w:b/>
        </w:rPr>
        <w:t xml:space="preserve">Laboratory: </w:t>
      </w:r>
    </w:p>
    <w:p w:rsidR="00253146" w:rsidRPr="00656BF3" w:rsidRDefault="008706C4" w:rsidP="00AB2F4A">
      <w:pPr>
        <w:pStyle w:val="NoSpacing"/>
        <w:rPr>
          <w:rFonts w:cstheme="minorHAnsi"/>
        </w:rPr>
      </w:pPr>
      <w:r w:rsidRPr="00656BF3">
        <w:rPr>
          <w:rFonts w:cstheme="minorHAnsi"/>
        </w:rPr>
        <w:t>GeneDx</w:t>
      </w:r>
      <w:r w:rsidR="00D17422" w:rsidRPr="00656BF3">
        <w:rPr>
          <w:rFonts w:cstheme="minorHAnsi"/>
        </w:rPr>
        <w:t xml:space="preserve">, Inc. </w:t>
      </w:r>
      <w:r w:rsidR="00205DB4" w:rsidRPr="00656BF3">
        <w:rPr>
          <w:rFonts w:cstheme="minorHAnsi"/>
        </w:rPr>
        <w:t xml:space="preserve"> </w:t>
      </w:r>
    </w:p>
    <w:p w:rsidR="00205DB4" w:rsidRPr="00656BF3" w:rsidRDefault="00FB3BE6" w:rsidP="00AB2F4A">
      <w:pPr>
        <w:pStyle w:val="NoSpacing"/>
        <w:rPr>
          <w:rFonts w:cstheme="minorHAnsi"/>
        </w:rPr>
      </w:pPr>
      <w:r w:rsidRPr="00656BF3">
        <w:rPr>
          <w:rFonts w:cstheme="minorHAnsi"/>
        </w:rPr>
        <w:t>(NPI#1487632998 / TAXID#205446298 / CLIA#21D0969951)</w:t>
      </w:r>
    </w:p>
    <w:p w:rsidR="00AB2F4A" w:rsidRPr="00656BF3" w:rsidRDefault="00AB2F4A" w:rsidP="00AB2F4A">
      <w:pPr>
        <w:pStyle w:val="NoSpacing"/>
        <w:rPr>
          <w:rFonts w:cstheme="minorHAnsi"/>
          <w:color w:val="FF0000"/>
        </w:rPr>
      </w:pPr>
      <w:r w:rsidRPr="00656BF3">
        <w:rPr>
          <w:rFonts w:cstheme="minorHAnsi"/>
        </w:rPr>
        <w:t>207 Perry Parkway</w:t>
      </w:r>
    </w:p>
    <w:p w:rsidR="00AB2F4A" w:rsidRPr="00656BF3" w:rsidRDefault="00AB2F4A" w:rsidP="00AB2F4A">
      <w:pPr>
        <w:pStyle w:val="NoSpacing"/>
        <w:rPr>
          <w:rFonts w:cstheme="minorHAnsi"/>
        </w:rPr>
      </w:pPr>
      <w:r w:rsidRPr="00656BF3">
        <w:rPr>
          <w:rFonts w:cstheme="minorHAnsi"/>
        </w:rPr>
        <w:lastRenderedPageBreak/>
        <w:t>Gaithersburg, MD 20877</w:t>
      </w:r>
    </w:p>
    <w:p w:rsidR="00AB2F4A" w:rsidRPr="00656BF3" w:rsidRDefault="00AB2F4A" w:rsidP="00AB2F4A">
      <w:pPr>
        <w:pStyle w:val="NoSpacing"/>
        <w:rPr>
          <w:rFonts w:cstheme="minorHAnsi"/>
        </w:rPr>
      </w:pPr>
      <w:r w:rsidRPr="00656BF3">
        <w:rPr>
          <w:rFonts w:cstheme="minorHAnsi"/>
        </w:rPr>
        <w:t>Telephone:</w:t>
      </w:r>
      <w:r w:rsidR="0064562A" w:rsidRPr="00656BF3">
        <w:rPr>
          <w:rFonts w:cstheme="minorHAnsi"/>
        </w:rPr>
        <w:t xml:space="preserve"> (301) 519-2100</w:t>
      </w:r>
    </w:p>
    <w:p w:rsidR="002D0B92" w:rsidRPr="00656BF3" w:rsidRDefault="00AB2F4A" w:rsidP="00AB2F4A">
      <w:pPr>
        <w:pStyle w:val="NoSpacing"/>
        <w:rPr>
          <w:rFonts w:cstheme="minorHAnsi"/>
        </w:rPr>
      </w:pPr>
      <w:r w:rsidRPr="00656BF3">
        <w:rPr>
          <w:rFonts w:cstheme="minorHAnsi"/>
        </w:rPr>
        <w:t xml:space="preserve">Fax: </w:t>
      </w:r>
      <w:r w:rsidR="0064562A" w:rsidRPr="00656BF3">
        <w:rPr>
          <w:rFonts w:cstheme="minorHAnsi"/>
        </w:rPr>
        <w:t>(201) 421-2010</w:t>
      </w:r>
    </w:p>
    <w:p w:rsidR="00AB2F4A" w:rsidRPr="00656BF3" w:rsidRDefault="00AB2F4A" w:rsidP="00AB2F4A">
      <w:pPr>
        <w:pStyle w:val="NoSpacing"/>
        <w:rPr>
          <w:rFonts w:cstheme="minorHAnsi"/>
        </w:rPr>
        <w:sectPr w:rsidR="00AB2F4A" w:rsidRPr="00656BF3" w:rsidSect="00AB2F4A">
          <w:type w:val="continuous"/>
          <w:pgSz w:w="12240" w:h="15840"/>
          <w:pgMar w:top="1440" w:right="1440" w:bottom="1440" w:left="1440" w:header="720" w:footer="720" w:gutter="0"/>
          <w:cols w:num="2" w:space="720"/>
          <w:docGrid w:linePitch="360"/>
        </w:sectPr>
      </w:pPr>
    </w:p>
    <w:p w:rsidR="00205DB4" w:rsidRPr="00656BF3" w:rsidRDefault="00205DB4" w:rsidP="00AB2F4A">
      <w:pPr>
        <w:pStyle w:val="NoSpacing"/>
        <w:rPr>
          <w:rFonts w:cstheme="minorHAnsi"/>
        </w:rPr>
      </w:pPr>
    </w:p>
    <w:p w:rsidR="00F74480" w:rsidRPr="00656BF3" w:rsidRDefault="00F74480" w:rsidP="00AB2F4A">
      <w:pPr>
        <w:pStyle w:val="NoSpacing"/>
        <w:rPr>
          <w:rFonts w:cstheme="minorHAnsi"/>
        </w:rPr>
      </w:pPr>
      <w:r w:rsidRPr="00656BF3">
        <w:rPr>
          <w:rFonts w:cstheme="minorHAnsi"/>
        </w:rPr>
        <w:t xml:space="preserve">This letter is in regards to my patient, </w:t>
      </w:r>
      <w:r w:rsidR="002D0B92" w:rsidRPr="00656BF3">
        <w:rPr>
          <w:rFonts w:cstheme="minorHAnsi"/>
          <w:color w:val="FF0000"/>
        </w:rPr>
        <w:t>[</w:t>
      </w:r>
      <w:r w:rsidRPr="00656BF3">
        <w:rPr>
          <w:rFonts w:cstheme="minorHAnsi"/>
          <w:color w:val="FF0000"/>
        </w:rPr>
        <w:t>FIRST NAME LAST NAME</w:t>
      </w:r>
      <w:r w:rsidR="002D0B92" w:rsidRPr="00656BF3">
        <w:rPr>
          <w:rFonts w:cstheme="minorHAnsi"/>
          <w:color w:val="FF0000"/>
        </w:rPr>
        <w:t>]</w:t>
      </w:r>
      <w:r w:rsidR="0064562A" w:rsidRPr="00656BF3">
        <w:rPr>
          <w:rFonts w:cstheme="minorHAnsi"/>
        </w:rPr>
        <w:t>, to requ</w:t>
      </w:r>
      <w:r w:rsidR="00503AB6" w:rsidRPr="00656BF3">
        <w:rPr>
          <w:rFonts w:cstheme="minorHAnsi"/>
        </w:rPr>
        <w:t>est full coverage for the Chromosomal microarray</w:t>
      </w:r>
      <w:r w:rsidR="00F9401A" w:rsidRPr="00656BF3">
        <w:rPr>
          <w:rFonts w:cstheme="minorHAnsi"/>
        </w:rPr>
        <w:t xml:space="preserve"> </w:t>
      </w:r>
      <w:r w:rsidR="00503AB6" w:rsidRPr="00656BF3">
        <w:rPr>
          <w:rFonts w:cstheme="minorHAnsi"/>
        </w:rPr>
        <w:t xml:space="preserve">test </w:t>
      </w:r>
      <w:r w:rsidRPr="00656BF3">
        <w:rPr>
          <w:rFonts w:cstheme="minorHAnsi"/>
        </w:rPr>
        <w:t>to be perfo</w:t>
      </w:r>
      <w:r w:rsidR="008706C4" w:rsidRPr="00656BF3">
        <w:rPr>
          <w:rFonts w:cstheme="minorHAnsi"/>
        </w:rPr>
        <w:t>r</w:t>
      </w:r>
      <w:r w:rsidRPr="00656BF3">
        <w:rPr>
          <w:rFonts w:cstheme="minorHAnsi"/>
        </w:rPr>
        <w:t>med by GeneDx</w:t>
      </w:r>
      <w:r w:rsidR="002D0B92" w:rsidRPr="00656BF3">
        <w:rPr>
          <w:rFonts w:cstheme="minorHAnsi"/>
        </w:rPr>
        <w:t xml:space="preserve">.  </w:t>
      </w:r>
      <w:r w:rsidRPr="00656BF3">
        <w:rPr>
          <w:rFonts w:cstheme="minorHAnsi"/>
        </w:rPr>
        <w:t xml:space="preserve">It is my professional determination that testing is medically necessary and will have a direct impact on this patient’s treatment and management.   </w:t>
      </w:r>
    </w:p>
    <w:p w:rsidR="006337EC" w:rsidRPr="00656BF3" w:rsidRDefault="006337EC" w:rsidP="00AB2F4A">
      <w:pPr>
        <w:pStyle w:val="NoSpacing"/>
        <w:rPr>
          <w:rFonts w:cstheme="minorHAnsi"/>
        </w:rPr>
      </w:pPr>
    </w:p>
    <w:p w:rsidR="00B374A4" w:rsidRPr="00656BF3" w:rsidRDefault="00B374A4" w:rsidP="00656BF3">
      <w:pPr>
        <w:pStyle w:val="NoSpacing"/>
        <w:rPr>
          <w:rFonts w:cstheme="minorHAnsi"/>
          <w:b/>
        </w:rPr>
      </w:pPr>
      <w:r w:rsidRPr="00656BF3">
        <w:rPr>
          <w:rFonts w:cstheme="minorHAnsi"/>
          <w:b/>
        </w:rPr>
        <w:t>Patient Clinical and Family History</w:t>
      </w:r>
    </w:p>
    <w:p w:rsidR="006337EC" w:rsidRPr="00656BF3" w:rsidRDefault="006337EC" w:rsidP="00656BF3">
      <w:pPr>
        <w:pStyle w:val="NoSpacing"/>
        <w:rPr>
          <w:rFonts w:cstheme="minorHAnsi"/>
        </w:rPr>
      </w:pPr>
      <w:r w:rsidRPr="00656BF3">
        <w:rPr>
          <w:rFonts w:cstheme="minorHAnsi"/>
        </w:rPr>
        <w:t>This testing is requested due to this patient’s person</w:t>
      </w:r>
      <w:r w:rsidR="00855940" w:rsidRPr="00656BF3">
        <w:rPr>
          <w:rFonts w:cstheme="minorHAnsi"/>
        </w:rPr>
        <w:t>al medical history, which includes the following clinical findings</w:t>
      </w:r>
      <w:r w:rsidRPr="00656BF3">
        <w:rPr>
          <w:rFonts w:cstheme="minorHAnsi"/>
        </w:rPr>
        <w:t xml:space="preserve">:  </w:t>
      </w:r>
    </w:p>
    <w:p w:rsidR="006337EC" w:rsidRPr="00656BF3" w:rsidRDefault="006337EC" w:rsidP="00656BF3">
      <w:pPr>
        <w:pStyle w:val="NoSpacing"/>
        <w:rPr>
          <w:rFonts w:cstheme="minorHAnsi"/>
        </w:rPr>
      </w:pPr>
    </w:p>
    <w:p w:rsidR="006337EC" w:rsidRPr="00656BF3" w:rsidRDefault="006337EC" w:rsidP="00656BF3">
      <w:pPr>
        <w:pStyle w:val="NoSpacing"/>
        <w:numPr>
          <w:ilvl w:val="0"/>
          <w:numId w:val="6"/>
        </w:numPr>
        <w:rPr>
          <w:rFonts w:cstheme="minorHAnsi"/>
          <w:color w:val="FF0000"/>
        </w:rPr>
      </w:pPr>
      <w:r w:rsidRPr="00656BF3">
        <w:rPr>
          <w:rFonts w:cstheme="minorHAnsi"/>
          <w:color w:val="FF0000"/>
        </w:rPr>
        <w:t xml:space="preserve">Add Phenotype </w:t>
      </w:r>
    </w:p>
    <w:p w:rsidR="006337EC" w:rsidRPr="00656BF3" w:rsidRDefault="006337EC" w:rsidP="00656BF3">
      <w:pPr>
        <w:pStyle w:val="NoSpacing"/>
        <w:numPr>
          <w:ilvl w:val="0"/>
          <w:numId w:val="6"/>
        </w:numPr>
        <w:rPr>
          <w:rFonts w:cstheme="minorHAnsi"/>
          <w:color w:val="FF0000"/>
        </w:rPr>
      </w:pPr>
      <w:r w:rsidRPr="00656BF3">
        <w:rPr>
          <w:rFonts w:cstheme="minorHAnsi"/>
          <w:color w:val="FF0000"/>
        </w:rPr>
        <w:t xml:space="preserve">Add Phenotype </w:t>
      </w:r>
    </w:p>
    <w:p w:rsidR="006337EC" w:rsidRPr="00656BF3" w:rsidRDefault="006337EC" w:rsidP="00656BF3">
      <w:pPr>
        <w:pStyle w:val="NoSpacing"/>
        <w:numPr>
          <w:ilvl w:val="0"/>
          <w:numId w:val="6"/>
        </w:numPr>
        <w:rPr>
          <w:rFonts w:cstheme="minorHAnsi"/>
          <w:color w:val="FF0000"/>
        </w:rPr>
      </w:pPr>
      <w:r w:rsidRPr="00656BF3">
        <w:rPr>
          <w:rFonts w:cstheme="minorHAnsi"/>
          <w:color w:val="FF0000"/>
        </w:rPr>
        <w:t>Add Phenotype</w:t>
      </w:r>
    </w:p>
    <w:p w:rsidR="00855940" w:rsidRPr="00656BF3" w:rsidRDefault="00855940" w:rsidP="00656BF3">
      <w:pPr>
        <w:pStyle w:val="NoSpacing"/>
        <w:rPr>
          <w:rFonts w:cstheme="minorHAnsi"/>
          <w:color w:val="FF0000"/>
        </w:rPr>
      </w:pPr>
    </w:p>
    <w:p w:rsidR="00855940" w:rsidRPr="00656BF3" w:rsidRDefault="00855940" w:rsidP="00656BF3">
      <w:pPr>
        <w:pStyle w:val="NoSpacing"/>
        <w:rPr>
          <w:rFonts w:cstheme="minorHAnsi"/>
        </w:rPr>
      </w:pPr>
      <w:r w:rsidRPr="00656BF3">
        <w:rPr>
          <w:rFonts w:cstheme="minorHAnsi"/>
        </w:rPr>
        <w:t xml:space="preserve">The patient’s family history is </w:t>
      </w:r>
      <w:r w:rsidRPr="00656BF3">
        <w:rPr>
          <w:rFonts w:cstheme="minorHAnsi"/>
          <w:color w:val="FF0000"/>
        </w:rPr>
        <w:t xml:space="preserve">negative for related conditions / unknown / remarkable for the following related clinical features: </w:t>
      </w:r>
    </w:p>
    <w:p w:rsidR="00ED14F6" w:rsidRPr="00656BF3" w:rsidRDefault="00ED14F6" w:rsidP="00656BF3">
      <w:pPr>
        <w:pStyle w:val="NoSpacing"/>
        <w:rPr>
          <w:rFonts w:cstheme="minorHAnsi"/>
        </w:rPr>
      </w:pPr>
    </w:p>
    <w:p w:rsidR="00ED14F6" w:rsidRPr="00656BF3" w:rsidRDefault="00ED14F6" w:rsidP="00656BF3">
      <w:pPr>
        <w:pStyle w:val="NoSpacing"/>
        <w:rPr>
          <w:rFonts w:cstheme="minorHAnsi"/>
          <w:color w:val="FF0000"/>
        </w:rPr>
      </w:pPr>
      <w:r w:rsidRPr="00656BF3">
        <w:rPr>
          <w:rFonts w:cstheme="minorHAnsi"/>
          <w:color w:val="FF0000"/>
        </w:rPr>
        <w:lastRenderedPageBreak/>
        <w:t>The patient has previously had the following uninformative genetic and other testing:</w:t>
      </w:r>
    </w:p>
    <w:p w:rsidR="00ED14F6" w:rsidRPr="00656BF3" w:rsidRDefault="00ED14F6" w:rsidP="00656BF3">
      <w:pPr>
        <w:pStyle w:val="NoSpacing"/>
        <w:numPr>
          <w:ilvl w:val="0"/>
          <w:numId w:val="9"/>
        </w:numPr>
        <w:rPr>
          <w:rFonts w:cstheme="minorHAnsi"/>
          <w:color w:val="FF0000"/>
        </w:rPr>
      </w:pPr>
      <w:r w:rsidRPr="00656BF3">
        <w:rPr>
          <w:rFonts w:cstheme="minorHAnsi"/>
          <w:color w:val="FF0000"/>
        </w:rPr>
        <w:t>Add test</w:t>
      </w:r>
    </w:p>
    <w:p w:rsidR="00ED14F6" w:rsidRPr="00656BF3" w:rsidRDefault="00ED14F6" w:rsidP="00656BF3">
      <w:pPr>
        <w:pStyle w:val="NoSpacing"/>
        <w:numPr>
          <w:ilvl w:val="0"/>
          <w:numId w:val="9"/>
        </w:numPr>
        <w:rPr>
          <w:rFonts w:cstheme="minorHAnsi"/>
          <w:color w:val="FF0000"/>
        </w:rPr>
      </w:pPr>
      <w:r w:rsidRPr="00656BF3">
        <w:rPr>
          <w:rFonts w:cstheme="minorHAnsi"/>
          <w:color w:val="FF0000"/>
        </w:rPr>
        <w:t>Add test</w:t>
      </w:r>
    </w:p>
    <w:p w:rsidR="00ED14F6" w:rsidRPr="00656BF3" w:rsidRDefault="00ED14F6" w:rsidP="00656BF3">
      <w:pPr>
        <w:pStyle w:val="NoSpacing"/>
        <w:numPr>
          <w:ilvl w:val="0"/>
          <w:numId w:val="9"/>
        </w:numPr>
        <w:rPr>
          <w:rFonts w:cstheme="minorHAnsi"/>
          <w:color w:val="FF0000"/>
        </w:rPr>
      </w:pPr>
      <w:r w:rsidRPr="00656BF3">
        <w:rPr>
          <w:rFonts w:cstheme="minorHAnsi"/>
          <w:color w:val="FF0000"/>
        </w:rPr>
        <w:t>Add test</w:t>
      </w:r>
    </w:p>
    <w:p w:rsidR="00205DB4" w:rsidRPr="00656BF3" w:rsidRDefault="00205DB4" w:rsidP="00656BF3">
      <w:pPr>
        <w:pStyle w:val="NoSpacing"/>
        <w:rPr>
          <w:rFonts w:cstheme="minorHAnsi"/>
        </w:rPr>
      </w:pPr>
    </w:p>
    <w:p w:rsidR="00B374A4" w:rsidRPr="00656BF3" w:rsidRDefault="00776731" w:rsidP="00656BF3">
      <w:pPr>
        <w:pStyle w:val="NoSpacing"/>
        <w:rPr>
          <w:rFonts w:cstheme="minorHAnsi"/>
          <w:b/>
        </w:rPr>
      </w:pPr>
      <w:r w:rsidRPr="00656BF3">
        <w:rPr>
          <w:rFonts w:cstheme="minorHAnsi"/>
          <w:b/>
        </w:rPr>
        <w:t>Clinical Evidence and Guidelines for Testing</w:t>
      </w:r>
    </w:p>
    <w:p w:rsidR="00503AB6" w:rsidRDefault="00503AB6" w:rsidP="00656BF3">
      <w:pPr>
        <w:spacing w:after="0" w:line="240" w:lineRule="auto"/>
        <w:rPr>
          <w:rFonts w:cstheme="minorHAnsi"/>
        </w:rPr>
      </w:pPr>
      <w:r w:rsidRPr="00656BF3">
        <w:rPr>
          <w:rFonts w:cstheme="minorHAnsi"/>
        </w:rPr>
        <w:t>Chromosomal abnormalities are a common cause of developmental delay, intellectual disability, autism spectrum disorders (ASDs), seizures, and birth defects.</w:t>
      </w:r>
      <w:r w:rsidRPr="00656BF3">
        <w:rPr>
          <w:rFonts w:cstheme="minorHAnsi"/>
          <w:vertAlign w:val="superscript"/>
        </w:rPr>
        <w:t xml:space="preserve">1,2,3  </w:t>
      </w:r>
      <w:r w:rsidRPr="00656BF3">
        <w:rPr>
          <w:rFonts w:cstheme="minorHAnsi"/>
        </w:rPr>
        <w:t>In particular, small chromosomal microdeletions and microduplications, collectively referred to as copy number variants (CNVs), account for a significant proportion of pathogenic chromosomal abnormalities.  Many CNVs are too small to be detected by conventional cytogenetic testing and require other detection methods such as microarray.</w:t>
      </w:r>
    </w:p>
    <w:p w:rsidR="00656BF3" w:rsidRPr="00656BF3" w:rsidRDefault="00656BF3" w:rsidP="00656BF3">
      <w:pPr>
        <w:spacing w:after="0" w:line="240" w:lineRule="auto"/>
        <w:rPr>
          <w:rFonts w:cstheme="minorHAnsi"/>
        </w:rPr>
      </w:pPr>
    </w:p>
    <w:p w:rsidR="00503AB6" w:rsidRPr="00656BF3" w:rsidRDefault="00503AB6" w:rsidP="00656BF3">
      <w:pPr>
        <w:spacing w:after="0" w:line="240" w:lineRule="auto"/>
        <w:rPr>
          <w:rFonts w:cstheme="minorHAnsi"/>
          <w:vertAlign w:val="superscript"/>
        </w:rPr>
      </w:pPr>
      <w:r w:rsidRPr="00656BF3">
        <w:rPr>
          <w:rFonts w:cstheme="minorHAnsi"/>
        </w:rPr>
        <w:t xml:space="preserve">Evidence based medical literature and national standards support the use of this testing. The American College of Medical Genetics (ACMG), American Academy of Pediatrics (AAP), and the American Academy of Neurology (AAN) all support chromosomal microarray analysis as first-tier diagnostic testing for individuals with </w:t>
      </w:r>
      <w:r w:rsidRPr="00656BF3">
        <w:rPr>
          <w:rFonts w:cstheme="minorHAnsi"/>
        </w:rPr>
        <w:lastRenderedPageBreak/>
        <w:t>developmental delay or intellectual disability, autism spectrum disorders, birth defects, and/or dysmorphic features.</w:t>
      </w:r>
      <w:r w:rsidRPr="00656BF3">
        <w:rPr>
          <w:rFonts w:cstheme="minorHAnsi"/>
          <w:vertAlign w:val="superscript"/>
        </w:rPr>
        <w:t>1,2,4,5</w:t>
      </w:r>
    </w:p>
    <w:p w:rsidR="00656BF3" w:rsidRPr="00656BF3" w:rsidRDefault="00656BF3" w:rsidP="00656BF3">
      <w:pPr>
        <w:spacing w:after="0" w:line="240" w:lineRule="auto"/>
        <w:rPr>
          <w:rFonts w:cstheme="minorHAnsi"/>
          <w:b/>
        </w:rPr>
      </w:pPr>
    </w:p>
    <w:p w:rsidR="00503AB6" w:rsidRDefault="00503AB6" w:rsidP="00656BF3">
      <w:pPr>
        <w:spacing w:after="0" w:line="240" w:lineRule="auto"/>
        <w:rPr>
          <w:rFonts w:cstheme="minorHAnsi"/>
          <w:vertAlign w:val="superscript"/>
        </w:rPr>
      </w:pPr>
      <w:r w:rsidRPr="00656BF3">
        <w:rPr>
          <w:rFonts w:cstheme="minorHAnsi"/>
        </w:rPr>
        <w:t>Whole genome chromosomal microarray analysis is currently the most comprehensive and cost-effective method for detection of CNVs and provides much greater resolution than conventional cytogenetics.</w:t>
      </w:r>
      <w:r w:rsidRPr="00656BF3">
        <w:rPr>
          <w:rFonts w:cstheme="minorHAnsi"/>
          <w:vertAlign w:val="superscript"/>
        </w:rPr>
        <w:t xml:space="preserve">1,2,4  </w:t>
      </w:r>
      <w:r w:rsidRPr="00656BF3">
        <w:rPr>
          <w:rFonts w:cstheme="minorHAnsi"/>
        </w:rPr>
        <w:t>The clinical sensitivity of chromosomal microarray testing ranges from 8-20% for individuals with developmental delay/intellectual disability, ASDs, and/or multiple congenital anomalies, compared to ~3% for G-banded karyotyping to evaluate for large chromosome aberrations.</w:t>
      </w:r>
      <w:r w:rsidRPr="00656BF3">
        <w:rPr>
          <w:rFonts w:cstheme="minorHAnsi"/>
          <w:vertAlign w:val="superscript"/>
        </w:rPr>
        <w:t>1,4</w:t>
      </w:r>
    </w:p>
    <w:p w:rsidR="00656BF3" w:rsidRPr="00656BF3" w:rsidRDefault="00656BF3" w:rsidP="00656BF3">
      <w:pPr>
        <w:spacing w:after="0" w:line="240" w:lineRule="auto"/>
        <w:rPr>
          <w:rFonts w:cstheme="minorHAnsi"/>
        </w:rPr>
      </w:pPr>
    </w:p>
    <w:p w:rsidR="00B374A4" w:rsidRPr="00656BF3" w:rsidRDefault="00776731" w:rsidP="00656BF3">
      <w:pPr>
        <w:pStyle w:val="NoSpacing"/>
        <w:rPr>
          <w:rFonts w:cstheme="minorHAnsi"/>
          <w:b/>
        </w:rPr>
      </w:pPr>
      <w:r w:rsidRPr="00656BF3">
        <w:rPr>
          <w:rFonts w:cstheme="minorHAnsi"/>
          <w:b/>
        </w:rPr>
        <w:t xml:space="preserve">Patient Clinical Utility and </w:t>
      </w:r>
      <w:r w:rsidR="00B374A4" w:rsidRPr="00656BF3">
        <w:rPr>
          <w:rFonts w:cstheme="minorHAnsi"/>
          <w:b/>
        </w:rPr>
        <w:t xml:space="preserve">Medical Management Implications </w:t>
      </w:r>
    </w:p>
    <w:p w:rsidR="00887B41" w:rsidRDefault="00B27690" w:rsidP="00656BF3">
      <w:pPr>
        <w:spacing w:after="0" w:line="240" w:lineRule="auto"/>
        <w:rPr>
          <w:rFonts w:cstheme="minorHAnsi"/>
          <w:vertAlign w:val="superscript"/>
        </w:rPr>
      </w:pPr>
      <w:r w:rsidRPr="00656BF3">
        <w:rPr>
          <w:rFonts w:cstheme="minorHAnsi"/>
        </w:rPr>
        <w:t xml:space="preserve">The </w:t>
      </w:r>
      <w:r w:rsidR="00D17422" w:rsidRPr="00656BF3">
        <w:rPr>
          <w:rFonts w:cstheme="minorHAnsi"/>
        </w:rPr>
        <w:t xml:space="preserve">test </w:t>
      </w:r>
      <w:r w:rsidRPr="00656BF3">
        <w:rPr>
          <w:rFonts w:cstheme="minorHAnsi"/>
        </w:rPr>
        <w:t>results</w:t>
      </w:r>
      <w:r w:rsidR="00F339A7" w:rsidRPr="00656BF3">
        <w:rPr>
          <w:rFonts w:cstheme="minorHAnsi"/>
        </w:rPr>
        <w:t xml:space="preserve"> will guide</w:t>
      </w:r>
      <w:r w:rsidR="00E04C9D" w:rsidRPr="00656BF3">
        <w:rPr>
          <w:rFonts w:cstheme="minorHAnsi"/>
        </w:rPr>
        <w:t xml:space="preserve"> and tailor</w:t>
      </w:r>
      <w:r w:rsidR="00F339A7" w:rsidRPr="00656BF3">
        <w:rPr>
          <w:rFonts w:cstheme="minorHAnsi"/>
        </w:rPr>
        <w:t xml:space="preserve"> appropriate medical management </w:t>
      </w:r>
      <w:r w:rsidR="00D17422" w:rsidRPr="00656BF3">
        <w:rPr>
          <w:rFonts w:cstheme="minorHAnsi"/>
        </w:rPr>
        <w:t xml:space="preserve">and treatment </w:t>
      </w:r>
      <w:r w:rsidR="00F339A7" w:rsidRPr="00656BF3">
        <w:rPr>
          <w:rFonts w:cstheme="minorHAnsi"/>
        </w:rPr>
        <w:t>for this patient</w:t>
      </w:r>
      <w:r w:rsidR="00F9401A" w:rsidRPr="00656BF3">
        <w:rPr>
          <w:rFonts w:cstheme="minorHAnsi"/>
        </w:rPr>
        <w:t>, which</w:t>
      </w:r>
      <w:r w:rsidR="00FB611B" w:rsidRPr="00656BF3">
        <w:rPr>
          <w:rFonts w:cstheme="minorHAnsi"/>
        </w:rPr>
        <w:t xml:space="preserve"> would not be possible without this testing</w:t>
      </w:r>
      <w:r w:rsidR="00F339A7" w:rsidRPr="00656BF3">
        <w:rPr>
          <w:rFonts w:cstheme="minorHAnsi"/>
        </w:rPr>
        <w:t>.</w:t>
      </w:r>
      <w:r w:rsidR="00E04C9D" w:rsidRPr="00656BF3">
        <w:rPr>
          <w:rFonts w:cstheme="minorHAnsi"/>
        </w:rPr>
        <w:t xml:space="preserve">  </w:t>
      </w:r>
      <w:r w:rsidR="00503AB6" w:rsidRPr="00656BF3">
        <w:rPr>
          <w:rFonts w:cstheme="minorHAnsi"/>
        </w:rPr>
        <w:t>The results of chromosomal microarray analysis have been shown to significantly impact medical management.</w:t>
      </w:r>
      <w:r w:rsidR="00503AB6" w:rsidRPr="00656BF3">
        <w:rPr>
          <w:rFonts w:cstheme="minorHAnsi"/>
          <w:vertAlign w:val="superscript"/>
        </w:rPr>
        <w:t>1,2</w:t>
      </w:r>
      <w:r w:rsidR="00503AB6" w:rsidRPr="00656BF3">
        <w:rPr>
          <w:rFonts w:cstheme="minorHAnsi"/>
        </w:rPr>
        <w:t xml:space="preserve">  Identification of a definitive genetic diagnosis enables health care providers to identify associated medical risks that may require intervention or ongoing management and to select appropriate therapeutic interventions.</w:t>
      </w:r>
      <w:r w:rsidR="00503AB6" w:rsidRPr="00656BF3">
        <w:rPr>
          <w:rFonts w:cstheme="minorHAnsi"/>
          <w:vertAlign w:val="superscript"/>
        </w:rPr>
        <w:t>1</w:t>
      </w:r>
      <w:r w:rsidR="00503AB6" w:rsidRPr="00656BF3">
        <w:rPr>
          <w:rFonts w:cstheme="minorHAnsi"/>
        </w:rPr>
        <w:t xml:space="preserve"> Confirmation of the diagnosis </w:t>
      </w:r>
      <w:r w:rsidR="00503AB6" w:rsidRPr="00656BF3">
        <w:rPr>
          <w:rFonts w:cstheme="minorHAnsi"/>
        </w:rPr>
        <w:lastRenderedPageBreak/>
        <w:t>also prevents additional, unnecessary diagnostic testing and provides information about future prognosis and recurrence risk.</w:t>
      </w:r>
      <w:r w:rsidR="00503AB6" w:rsidRPr="00656BF3">
        <w:rPr>
          <w:rFonts w:cstheme="minorHAnsi"/>
          <w:vertAlign w:val="superscript"/>
        </w:rPr>
        <w:t xml:space="preserve"> 1,2</w:t>
      </w:r>
    </w:p>
    <w:p w:rsidR="00656BF3" w:rsidRPr="00656BF3" w:rsidRDefault="00656BF3" w:rsidP="00656BF3">
      <w:pPr>
        <w:spacing w:after="0" w:line="240" w:lineRule="auto"/>
        <w:rPr>
          <w:rFonts w:cstheme="minorHAnsi"/>
        </w:rPr>
      </w:pPr>
    </w:p>
    <w:p w:rsidR="00887B41" w:rsidRPr="00656BF3" w:rsidRDefault="00887B41" w:rsidP="00656BF3">
      <w:pPr>
        <w:pStyle w:val="NoSpacing"/>
        <w:rPr>
          <w:rFonts w:cstheme="minorHAnsi"/>
          <w:color w:val="FF0000"/>
        </w:rPr>
      </w:pPr>
      <w:r w:rsidRPr="00656BF3">
        <w:rPr>
          <w:rFonts w:cstheme="minorHAnsi"/>
          <w:color w:val="FF0000"/>
        </w:rPr>
        <w:t>Specifically for this patient,</w:t>
      </w:r>
      <w:r w:rsidR="00503AB6" w:rsidRPr="00656BF3">
        <w:rPr>
          <w:rFonts w:cstheme="minorHAnsi"/>
          <w:color w:val="FF0000"/>
        </w:rPr>
        <w:t xml:space="preserve"> the results of chromosomal microarray will</w:t>
      </w:r>
      <w:r w:rsidRPr="00656BF3">
        <w:rPr>
          <w:rFonts w:cstheme="minorHAnsi"/>
          <w:color w:val="FF0000"/>
        </w:rPr>
        <w:t xml:space="preserve"> </w:t>
      </w:r>
      <w:r w:rsidR="00535623" w:rsidRPr="00656BF3">
        <w:rPr>
          <w:rFonts w:cstheme="minorHAnsi"/>
          <w:color w:val="FF0000"/>
        </w:rPr>
        <w:t>{</w:t>
      </w:r>
      <w:r w:rsidRPr="00656BF3">
        <w:rPr>
          <w:rFonts w:cstheme="minorHAnsi"/>
          <w:color w:val="FF0000"/>
        </w:rPr>
        <w:t>ADD ADDITIONAL INFORMATION}</w:t>
      </w:r>
    </w:p>
    <w:p w:rsidR="00B27690" w:rsidRPr="00656BF3" w:rsidRDefault="00B27690" w:rsidP="00656BF3">
      <w:pPr>
        <w:pStyle w:val="NoSpacing"/>
        <w:rPr>
          <w:rFonts w:cstheme="minorHAnsi"/>
        </w:rPr>
      </w:pPr>
    </w:p>
    <w:p w:rsidR="00B374A4" w:rsidRPr="00656BF3" w:rsidRDefault="00B374A4" w:rsidP="00656BF3">
      <w:pPr>
        <w:pStyle w:val="NoSpacing"/>
        <w:rPr>
          <w:rFonts w:cstheme="minorHAnsi"/>
          <w:b/>
        </w:rPr>
      </w:pPr>
      <w:r w:rsidRPr="00656BF3">
        <w:rPr>
          <w:rFonts w:cstheme="minorHAnsi"/>
          <w:b/>
        </w:rPr>
        <w:t>Summary</w:t>
      </w:r>
    </w:p>
    <w:p w:rsidR="00AB2F4A" w:rsidRPr="00656BF3" w:rsidRDefault="00AB2F4A" w:rsidP="00656BF3">
      <w:pPr>
        <w:pStyle w:val="NoSpacing"/>
        <w:rPr>
          <w:rFonts w:cstheme="minorHAnsi"/>
        </w:rPr>
      </w:pPr>
      <w:r w:rsidRPr="00656BF3">
        <w:rPr>
          <w:rFonts w:cstheme="minorHAnsi"/>
        </w:rPr>
        <w:t xml:space="preserve">The </w:t>
      </w:r>
      <w:r w:rsidR="00503AB6" w:rsidRPr="00656BF3">
        <w:rPr>
          <w:rFonts w:cstheme="minorHAnsi"/>
        </w:rPr>
        <w:t>Chromosomal Microarray at</w:t>
      </w:r>
      <w:r w:rsidRPr="00656BF3">
        <w:rPr>
          <w:rFonts w:cstheme="minorHAnsi"/>
        </w:rPr>
        <w:t xml:space="preserve"> GeneD</w:t>
      </w:r>
      <w:r w:rsidR="00342070" w:rsidRPr="00656BF3">
        <w:rPr>
          <w:rFonts w:cstheme="minorHAnsi"/>
        </w:rPr>
        <w:t xml:space="preserve">x is a highly sensitive </w:t>
      </w:r>
      <w:r w:rsidRPr="00656BF3">
        <w:rPr>
          <w:rFonts w:cstheme="minorHAnsi"/>
        </w:rPr>
        <w:t>and cost-effective geneti</w:t>
      </w:r>
      <w:r w:rsidR="00342070" w:rsidRPr="00656BF3">
        <w:rPr>
          <w:rFonts w:cstheme="minorHAnsi"/>
        </w:rPr>
        <w:t>c test</w:t>
      </w:r>
      <w:r w:rsidRPr="00656BF3">
        <w:rPr>
          <w:rFonts w:cstheme="minorHAnsi"/>
        </w:rPr>
        <w:t xml:space="preserve">.  </w:t>
      </w:r>
      <w:r w:rsidR="00FB3BE6" w:rsidRPr="00656BF3">
        <w:rPr>
          <w:rFonts w:cstheme="minorHAnsi"/>
        </w:rPr>
        <w:t>I am requesting coverage for this medically necessary</w:t>
      </w:r>
      <w:r w:rsidR="00205DB4" w:rsidRPr="00656BF3">
        <w:rPr>
          <w:rFonts w:cstheme="minorHAnsi"/>
        </w:rPr>
        <w:t xml:space="preserve"> test</w:t>
      </w:r>
      <w:r w:rsidR="00FB3BE6" w:rsidRPr="00656BF3">
        <w:rPr>
          <w:rFonts w:cstheme="minorHAnsi"/>
        </w:rPr>
        <w:t xml:space="preserve"> </w:t>
      </w:r>
      <w:r w:rsidR="00E04C9D" w:rsidRPr="00656BF3">
        <w:rPr>
          <w:rFonts w:cstheme="minorHAnsi"/>
          <w:color w:val="000000"/>
        </w:rPr>
        <w:t xml:space="preserve">in order to </w:t>
      </w:r>
      <w:r w:rsidR="00FB3BE6" w:rsidRPr="00656BF3">
        <w:rPr>
          <w:rFonts w:cstheme="minorHAnsi"/>
          <w:color w:val="000000"/>
        </w:rPr>
        <w:t>establish</w:t>
      </w:r>
      <w:r w:rsidR="00E04C9D" w:rsidRPr="00656BF3">
        <w:rPr>
          <w:rFonts w:cstheme="minorHAnsi"/>
          <w:color w:val="000000"/>
        </w:rPr>
        <w:t xml:space="preserve"> appropriate medical management for this patient.</w:t>
      </w:r>
      <w:r w:rsidR="00E04C9D" w:rsidRPr="00656BF3">
        <w:rPr>
          <w:rFonts w:cstheme="minorHAnsi"/>
        </w:rPr>
        <w:t xml:space="preserve">  Without testing, treatment would be suboptimal, subjecting this patient to increased morbidity and potentially early mortality.  </w:t>
      </w:r>
    </w:p>
    <w:p w:rsidR="00205DB4" w:rsidRPr="00656BF3" w:rsidRDefault="00205DB4" w:rsidP="00656BF3">
      <w:pPr>
        <w:pStyle w:val="NoSpacing"/>
        <w:rPr>
          <w:rFonts w:cstheme="minorHAnsi"/>
        </w:rPr>
      </w:pPr>
    </w:p>
    <w:p w:rsidR="00AB2F4A" w:rsidRPr="00656BF3" w:rsidRDefault="00AB2F4A" w:rsidP="00656BF3">
      <w:pPr>
        <w:pStyle w:val="NoSpacing"/>
        <w:rPr>
          <w:rFonts w:cstheme="minorHAnsi"/>
        </w:rPr>
      </w:pPr>
      <w:r w:rsidRPr="00656BF3">
        <w:rPr>
          <w:rFonts w:cstheme="minorHAnsi"/>
        </w:rPr>
        <w:t xml:space="preserve">Thank you for your review and consideration.  If you have questions, or if I can be of further assistance, please do not hesitate to call me at </w:t>
      </w:r>
      <w:r w:rsidRPr="00656BF3">
        <w:rPr>
          <w:rFonts w:cstheme="minorHAnsi"/>
          <w:color w:val="FF0000"/>
        </w:rPr>
        <w:t>(XXX) XXX-XXXX</w:t>
      </w:r>
      <w:r w:rsidRPr="00656BF3">
        <w:rPr>
          <w:rFonts w:cstheme="minorHAnsi"/>
        </w:rPr>
        <w:t>.</w:t>
      </w:r>
    </w:p>
    <w:p w:rsidR="00205DB4" w:rsidRPr="00656BF3" w:rsidRDefault="00205DB4" w:rsidP="00656BF3">
      <w:pPr>
        <w:pStyle w:val="NoSpacing"/>
        <w:rPr>
          <w:rFonts w:cstheme="minorHAnsi"/>
        </w:rPr>
      </w:pPr>
    </w:p>
    <w:p w:rsidR="00205DB4" w:rsidRPr="00656BF3" w:rsidRDefault="00205DB4" w:rsidP="00656BF3">
      <w:pPr>
        <w:pStyle w:val="NoSpacing"/>
        <w:rPr>
          <w:rFonts w:cstheme="minorHAnsi"/>
        </w:rPr>
      </w:pPr>
      <w:r w:rsidRPr="00656BF3">
        <w:rPr>
          <w:rFonts w:cstheme="minorHAnsi"/>
        </w:rPr>
        <w:t>Sincerely,</w:t>
      </w:r>
    </w:p>
    <w:p w:rsidR="00205DB4" w:rsidRPr="00656BF3" w:rsidRDefault="00205DB4" w:rsidP="00656BF3">
      <w:pPr>
        <w:pStyle w:val="NoSpacing"/>
        <w:rPr>
          <w:rFonts w:cstheme="minorHAnsi"/>
        </w:rPr>
      </w:pPr>
    </w:p>
    <w:p w:rsidR="00205DB4" w:rsidRPr="00656BF3" w:rsidRDefault="00342070" w:rsidP="00656BF3">
      <w:pPr>
        <w:pStyle w:val="NoSpacing"/>
        <w:rPr>
          <w:rFonts w:cstheme="minorHAnsi"/>
          <w:color w:val="FF0000"/>
        </w:rPr>
      </w:pPr>
      <w:r w:rsidRPr="00656BF3">
        <w:rPr>
          <w:rFonts w:cstheme="minorHAnsi"/>
          <w:color w:val="FF0000"/>
        </w:rPr>
        <w:t>Signature</w:t>
      </w:r>
    </w:p>
    <w:p w:rsidR="00205DB4" w:rsidRPr="00656BF3" w:rsidRDefault="00205DB4" w:rsidP="00656BF3">
      <w:pPr>
        <w:pStyle w:val="NoSpacing"/>
        <w:rPr>
          <w:rFonts w:cstheme="minorHAnsi"/>
          <w:color w:val="FF0000"/>
        </w:rPr>
      </w:pPr>
      <w:r w:rsidRPr="00656BF3">
        <w:rPr>
          <w:rFonts w:cstheme="minorHAnsi"/>
          <w:color w:val="FF0000"/>
        </w:rPr>
        <w:lastRenderedPageBreak/>
        <w:t xml:space="preserve">Ordering Provider’s Name </w:t>
      </w:r>
    </w:p>
    <w:p w:rsidR="00C247D1" w:rsidRPr="00656BF3" w:rsidRDefault="00C247D1" w:rsidP="00656BF3">
      <w:pPr>
        <w:pStyle w:val="NoSpacing"/>
        <w:rPr>
          <w:rFonts w:cstheme="minorHAnsi"/>
          <w:color w:val="FF0000"/>
        </w:rPr>
      </w:pPr>
    </w:p>
    <w:p w:rsidR="00C247D1" w:rsidRDefault="00C247D1" w:rsidP="00AB2F4A">
      <w:pPr>
        <w:pStyle w:val="NoSpacing"/>
        <w:rPr>
          <w:color w:val="FF0000"/>
        </w:rPr>
      </w:pPr>
    </w:p>
    <w:p w:rsidR="00503AB6" w:rsidRPr="00BD47AA" w:rsidRDefault="00503AB6" w:rsidP="00503AB6">
      <w:pPr>
        <w:pStyle w:val="ListParagraph"/>
        <w:numPr>
          <w:ilvl w:val="0"/>
          <w:numId w:val="10"/>
        </w:numPr>
        <w:spacing w:after="0" w:line="240" w:lineRule="auto"/>
      </w:pPr>
      <w:r w:rsidRPr="00BD47AA">
        <w:t>Schaefer et al. (2013) Professional Practice and Guidelines Committee. Clinical genetics evaluation in identifying the etiology of autism spectrum disorders: 2013 guideline revisions. Genetics In Medicine: Official Journal Of The American College Of Medical Genetics 15 (5):399-407 (PMID: 23519317)</w:t>
      </w:r>
    </w:p>
    <w:p w:rsidR="00503AB6" w:rsidRPr="00BD47AA" w:rsidRDefault="00503AB6" w:rsidP="00503AB6">
      <w:pPr>
        <w:pStyle w:val="ListParagraph"/>
        <w:numPr>
          <w:ilvl w:val="0"/>
          <w:numId w:val="10"/>
        </w:numPr>
        <w:spacing w:after="0" w:line="240" w:lineRule="auto"/>
      </w:pPr>
      <w:r w:rsidRPr="00BD47AA">
        <w:t xml:space="preserve">Ellison et al. (2012) Clinical utility of chromosomal microarray analysis. </w:t>
      </w:r>
      <w:r w:rsidRPr="00BD47AA">
        <w:rPr>
          <w:i/>
        </w:rPr>
        <w:t xml:space="preserve">Pediatrics </w:t>
      </w:r>
      <w:r w:rsidRPr="00BD47AA">
        <w:t>130 (5):e1085-95 (PMID: 23071206)</w:t>
      </w:r>
    </w:p>
    <w:p w:rsidR="00503AB6" w:rsidRPr="00BD47AA" w:rsidRDefault="00503AB6" w:rsidP="00503AB6">
      <w:pPr>
        <w:pStyle w:val="ListParagraph"/>
        <w:numPr>
          <w:ilvl w:val="0"/>
          <w:numId w:val="10"/>
        </w:numPr>
        <w:spacing w:after="0" w:line="240" w:lineRule="auto"/>
      </w:pPr>
      <w:r w:rsidRPr="00BD47AA">
        <w:t xml:space="preserve">Olson et al. (2014) Copy number variation plays an important role in clinical epilepsy. </w:t>
      </w:r>
      <w:r w:rsidRPr="00BD47AA">
        <w:rPr>
          <w:i/>
        </w:rPr>
        <w:t>Ann. Neurol.</w:t>
      </w:r>
      <w:r w:rsidRPr="00BD47AA">
        <w:t xml:space="preserve"> 75 (6):943-58 (PMID: 24811917)</w:t>
      </w:r>
    </w:p>
    <w:p w:rsidR="00503AB6" w:rsidRPr="00BD47AA" w:rsidRDefault="00503AB6" w:rsidP="00503AB6">
      <w:pPr>
        <w:pStyle w:val="ListParagraph"/>
        <w:widowControl w:val="0"/>
        <w:numPr>
          <w:ilvl w:val="0"/>
          <w:numId w:val="10"/>
        </w:numPr>
        <w:autoSpaceDE w:val="0"/>
        <w:autoSpaceDN w:val="0"/>
        <w:adjustRightInd w:val="0"/>
        <w:spacing w:after="0" w:line="240" w:lineRule="auto"/>
      </w:pPr>
      <w:r w:rsidRPr="00BD47AA">
        <w:t xml:space="preserve">Miller et al. (2010) Consensus statement: chromosomal microarray is a first-tier clinical diagnostic test for individuals with developmental disabilities or congenital anomalies. </w:t>
      </w:r>
      <w:r w:rsidRPr="00BD47AA">
        <w:rPr>
          <w:i/>
        </w:rPr>
        <w:t>American Journal Of Human Genetics</w:t>
      </w:r>
      <w:r w:rsidRPr="00BD47AA">
        <w:t xml:space="preserve"> 86 (5):749-64 (PMID: 20466091)</w:t>
      </w:r>
    </w:p>
    <w:p w:rsidR="00503AB6" w:rsidRPr="00BD47AA" w:rsidRDefault="00503AB6" w:rsidP="00503AB6">
      <w:pPr>
        <w:pStyle w:val="ListParagraph"/>
        <w:numPr>
          <w:ilvl w:val="0"/>
          <w:numId w:val="10"/>
        </w:numPr>
        <w:spacing w:after="0" w:line="240" w:lineRule="auto"/>
      </w:pPr>
      <w:r w:rsidRPr="00BD47AA">
        <w:t xml:space="preserve">Michelson et al. (2011) Evidence report: Genetic and metabolic testing on children with global developmental delay: </w:t>
      </w:r>
      <w:r w:rsidRPr="00BD47AA">
        <w:lastRenderedPageBreak/>
        <w:t xml:space="preserve">report of the Quality Standards Subcommittee of the American Academy of Neurology and the Practice Committee of the Child Neurology Society. </w:t>
      </w:r>
      <w:r w:rsidRPr="00BD47AA">
        <w:rPr>
          <w:i/>
        </w:rPr>
        <w:t xml:space="preserve">Neurology </w:t>
      </w:r>
      <w:r w:rsidRPr="00BD47AA">
        <w:t xml:space="preserve">77 (17):1629-35 (PMID: 21956720) </w:t>
      </w:r>
    </w:p>
    <w:p w:rsidR="00C247D1" w:rsidRPr="0071491F" w:rsidRDefault="00C247D1" w:rsidP="00AB2F4A">
      <w:pPr>
        <w:pStyle w:val="NoSpacing"/>
      </w:pPr>
    </w:p>
    <w:sectPr w:rsidR="00C247D1" w:rsidRPr="0071491F" w:rsidSect="00AB2F4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9A9"/>
    <w:multiLevelType w:val="hybridMultilevel"/>
    <w:tmpl w:val="251C19B4"/>
    <w:lvl w:ilvl="0" w:tplc="2E16868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36B55"/>
    <w:multiLevelType w:val="hybridMultilevel"/>
    <w:tmpl w:val="D2E0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27BFC"/>
    <w:multiLevelType w:val="hybridMultilevel"/>
    <w:tmpl w:val="6E9E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8269C"/>
    <w:multiLevelType w:val="hybridMultilevel"/>
    <w:tmpl w:val="F218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94533"/>
    <w:multiLevelType w:val="hybridMultilevel"/>
    <w:tmpl w:val="AFB428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4FEF3C70"/>
    <w:multiLevelType w:val="hybridMultilevel"/>
    <w:tmpl w:val="B90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12427B"/>
    <w:multiLevelType w:val="hybridMultilevel"/>
    <w:tmpl w:val="71BA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1373E"/>
    <w:multiLevelType w:val="hybridMultilevel"/>
    <w:tmpl w:val="27963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5E084A"/>
    <w:multiLevelType w:val="hybridMultilevel"/>
    <w:tmpl w:val="042A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A07767"/>
    <w:multiLevelType w:val="hybridMultilevel"/>
    <w:tmpl w:val="0AD84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3"/>
  </w:num>
  <w:num w:numId="6">
    <w:abstractNumId w:val="9"/>
  </w:num>
  <w:num w:numId="7">
    <w:abstractNumId w:val="2"/>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US" w:vendorID="64" w:dllVersion="131078" w:nlCheck="1" w:checkStyle="0"/>
  <w:activeWritingStyle w:appName="MSWord" w:lang="en-US" w:vendorID="64" w:dllVersion="131078"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A6"/>
    <w:rsid w:val="000B50A3"/>
    <w:rsid w:val="000D05E6"/>
    <w:rsid w:val="000E13FB"/>
    <w:rsid w:val="001109B6"/>
    <w:rsid w:val="00150F55"/>
    <w:rsid w:val="00205DB4"/>
    <w:rsid w:val="002414B7"/>
    <w:rsid w:val="00253146"/>
    <w:rsid w:val="002A7478"/>
    <w:rsid w:val="002D0B92"/>
    <w:rsid w:val="00301F9D"/>
    <w:rsid w:val="00342070"/>
    <w:rsid w:val="003640C1"/>
    <w:rsid w:val="003D0EA6"/>
    <w:rsid w:val="003E2CA8"/>
    <w:rsid w:val="00433DFB"/>
    <w:rsid w:val="00465837"/>
    <w:rsid w:val="004A3548"/>
    <w:rsid w:val="00503AB6"/>
    <w:rsid w:val="00535623"/>
    <w:rsid w:val="00543EEA"/>
    <w:rsid w:val="005B76FB"/>
    <w:rsid w:val="006337EC"/>
    <w:rsid w:val="0064562A"/>
    <w:rsid w:val="00652804"/>
    <w:rsid w:val="00653661"/>
    <w:rsid w:val="00656BF3"/>
    <w:rsid w:val="0071491F"/>
    <w:rsid w:val="0073022E"/>
    <w:rsid w:val="007665FC"/>
    <w:rsid w:val="00776731"/>
    <w:rsid w:val="00855940"/>
    <w:rsid w:val="008569AB"/>
    <w:rsid w:val="008706C4"/>
    <w:rsid w:val="00887B41"/>
    <w:rsid w:val="008E7C39"/>
    <w:rsid w:val="00900219"/>
    <w:rsid w:val="00921AF4"/>
    <w:rsid w:val="00997698"/>
    <w:rsid w:val="00AB2F4A"/>
    <w:rsid w:val="00B27690"/>
    <w:rsid w:val="00B374A4"/>
    <w:rsid w:val="00B42759"/>
    <w:rsid w:val="00B82599"/>
    <w:rsid w:val="00BE244D"/>
    <w:rsid w:val="00C247D1"/>
    <w:rsid w:val="00D134E4"/>
    <w:rsid w:val="00D17422"/>
    <w:rsid w:val="00D66DD8"/>
    <w:rsid w:val="00DB690F"/>
    <w:rsid w:val="00DE6040"/>
    <w:rsid w:val="00E04C9D"/>
    <w:rsid w:val="00ED14F6"/>
    <w:rsid w:val="00F1597A"/>
    <w:rsid w:val="00F339A7"/>
    <w:rsid w:val="00F74480"/>
    <w:rsid w:val="00F9401A"/>
    <w:rsid w:val="00FB3BE6"/>
    <w:rsid w:val="00FB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095E7-3817-4318-B43D-24CE7CCF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0EA6"/>
    <w:pPr>
      <w:spacing w:after="0" w:line="240" w:lineRule="auto"/>
    </w:pPr>
  </w:style>
  <w:style w:type="paragraph" w:styleId="ListParagraph">
    <w:name w:val="List Paragraph"/>
    <w:basedOn w:val="Normal"/>
    <w:uiPriority w:val="34"/>
    <w:qFormat/>
    <w:rsid w:val="00653661"/>
    <w:pPr>
      <w:ind w:left="720"/>
      <w:contextualSpacing/>
    </w:pPr>
  </w:style>
  <w:style w:type="paragraph" w:styleId="BalloonText">
    <w:name w:val="Balloon Text"/>
    <w:basedOn w:val="Normal"/>
    <w:link w:val="BalloonTextChar"/>
    <w:uiPriority w:val="99"/>
    <w:semiHidden/>
    <w:unhideWhenUsed/>
    <w:rsid w:val="002A7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478"/>
    <w:rPr>
      <w:rFonts w:ascii="Segoe UI" w:hAnsi="Segoe UI" w:cs="Segoe UI"/>
      <w:sz w:val="18"/>
      <w:szCs w:val="18"/>
    </w:rPr>
  </w:style>
  <w:style w:type="character" w:styleId="CommentReference">
    <w:name w:val="annotation reference"/>
    <w:basedOn w:val="DefaultParagraphFont"/>
    <w:uiPriority w:val="99"/>
    <w:semiHidden/>
    <w:unhideWhenUsed/>
    <w:rsid w:val="000B50A3"/>
    <w:rPr>
      <w:sz w:val="16"/>
      <w:szCs w:val="16"/>
    </w:rPr>
  </w:style>
  <w:style w:type="paragraph" w:styleId="CommentText">
    <w:name w:val="annotation text"/>
    <w:basedOn w:val="Normal"/>
    <w:link w:val="CommentTextChar"/>
    <w:uiPriority w:val="99"/>
    <w:semiHidden/>
    <w:unhideWhenUsed/>
    <w:rsid w:val="000B50A3"/>
    <w:pPr>
      <w:spacing w:line="240" w:lineRule="auto"/>
    </w:pPr>
    <w:rPr>
      <w:sz w:val="20"/>
      <w:szCs w:val="20"/>
    </w:rPr>
  </w:style>
  <w:style w:type="character" w:customStyle="1" w:styleId="CommentTextChar">
    <w:name w:val="Comment Text Char"/>
    <w:basedOn w:val="DefaultParagraphFont"/>
    <w:link w:val="CommentText"/>
    <w:uiPriority w:val="99"/>
    <w:semiHidden/>
    <w:rsid w:val="000B50A3"/>
    <w:rPr>
      <w:sz w:val="20"/>
      <w:szCs w:val="20"/>
    </w:rPr>
  </w:style>
  <w:style w:type="paragraph" w:styleId="CommentSubject">
    <w:name w:val="annotation subject"/>
    <w:basedOn w:val="CommentText"/>
    <w:next w:val="CommentText"/>
    <w:link w:val="CommentSubjectChar"/>
    <w:uiPriority w:val="99"/>
    <w:semiHidden/>
    <w:unhideWhenUsed/>
    <w:rsid w:val="000B50A3"/>
    <w:rPr>
      <w:b/>
      <w:bCs/>
    </w:rPr>
  </w:style>
  <w:style w:type="character" w:customStyle="1" w:styleId="CommentSubjectChar">
    <w:name w:val="Comment Subject Char"/>
    <w:basedOn w:val="CommentTextChar"/>
    <w:link w:val="CommentSubject"/>
    <w:uiPriority w:val="99"/>
    <w:semiHidden/>
    <w:rsid w:val="000B50A3"/>
    <w:rPr>
      <w:b/>
      <w:bCs/>
      <w:sz w:val="20"/>
      <w:szCs w:val="20"/>
    </w:rPr>
  </w:style>
  <w:style w:type="paragraph" w:styleId="Revision">
    <w:name w:val="Revision"/>
    <w:hidden/>
    <w:uiPriority w:val="99"/>
    <w:semiHidden/>
    <w:rsid w:val="00D66D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47709">
      <w:bodyDiv w:val="1"/>
      <w:marLeft w:val="0"/>
      <w:marRight w:val="0"/>
      <w:marTop w:val="0"/>
      <w:marBottom w:val="0"/>
      <w:divBdr>
        <w:top w:val="none" w:sz="0" w:space="0" w:color="auto"/>
        <w:left w:val="none" w:sz="0" w:space="0" w:color="auto"/>
        <w:bottom w:val="none" w:sz="0" w:space="0" w:color="auto"/>
        <w:right w:val="none" w:sz="0" w:space="0" w:color="auto"/>
      </w:divBdr>
    </w:div>
    <w:div w:id="702248718">
      <w:bodyDiv w:val="1"/>
      <w:marLeft w:val="0"/>
      <w:marRight w:val="0"/>
      <w:marTop w:val="0"/>
      <w:marBottom w:val="0"/>
      <w:divBdr>
        <w:top w:val="none" w:sz="0" w:space="0" w:color="auto"/>
        <w:left w:val="none" w:sz="0" w:space="0" w:color="auto"/>
        <w:bottom w:val="none" w:sz="0" w:space="0" w:color="auto"/>
        <w:right w:val="none" w:sz="0" w:space="0" w:color="auto"/>
      </w:divBdr>
    </w:div>
    <w:div w:id="1187598186">
      <w:bodyDiv w:val="1"/>
      <w:marLeft w:val="0"/>
      <w:marRight w:val="0"/>
      <w:marTop w:val="0"/>
      <w:marBottom w:val="0"/>
      <w:divBdr>
        <w:top w:val="none" w:sz="0" w:space="0" w:color="auto"/>
        <w:left w:val="none" w:sz="0" w:space="0" w:color="auto"/>
        <w:bottom w:val="none" w:sz="0" w:space="0" w:color="auto"/>
        <w:right w:val="none" w:sz="0" w:space="0" w:color="auto"/>
      </w:divBdr>
      <w:divsChild>
        <w:div w:id="1366099847">
          <w:marLeft w:val="0"/>
          <w:marRight w:val="0"/>
          <w:marTop w:val="0"/>
          <w:marBottom w:val="0"/>
          <w:divBdr>
            <w:top w:val="none" w:sz="0" w:space="0" w:color="auto"/>
            <w:left w:val="none" w:sz="0" w:space="0" w:color="auto"/>
            <w:bottom w:val="none" w:sz="0" w:space="0" w:color="auto"/>
            <w:right w:val="none" w:sz="0" w:space="0" w:color="auto"/>
          </w:divBdr>
        </w:div>
      </w:divsChild>
    </w:div>
    <w:div w:id="1217931051">
      <w:bodyDiv w:val="1"/>
      <w:marLeft w:val="0"/>
      <w:marRight w:val="0"/>
      <w:marTop w:val="0"/>
      <w:marBottom w:val="0"/>
      <w:divBdr>
        <w:top w:val="none" w:sz="0" w:space="0" w:color="auto"/>
        <w:left w:val="none" w:sz="0" w:space="0" w:color="auto"/>
        <w:bottom w:val="none" w:sz="0" w:space="0" w:color="auto"/>
        <w:right w:val="none" w:sz="0" w:space="0" w:color="auto"/>
      </w:divBdr>
    </w:div>
    <w:div w:id="1462067154">
      <w:bodyDiv w:val="1"/>
      <w:marLeft w:val="0"/>
      <w:marRight w:val="0"/>
      <w:marTop w:val="0"/>
      <w:marBottom w:val="0"/>
      <w:divBdr>
        <w:top w:val="none" w:sz="0" w:space="0" w:color="auto"/>
        <w:left w:val="none" w:sz="0" w:space="0" w:color="auto"/>
        <w:bottom w:val="none" w:sz="0" w:space="0" w:color="auto"/>
        <w:right w:val="none" w:sz="0" w:space="0" w:color="auto"/>
      </w:divBdr>
    </w:div>
    <w:div w:id="15043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BioReference Laboratories Inc.</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Klein</dc:creator>
  <cp:keywords/>
  <dc:description/>
  <cp:lastModifiedBy>Raymond Jubela</cp:lastModifiedBy>
  <cp:revision>2</cp:revision>
  <dcterms:created xsi:type="dcterms:W3CDTF">2021-12-10T15:00:00Z</dcterms:created>
  <dcterms:modified xsi:type="dcterms:W3CDTF">2021-12-10T15:00:00Z</dcterms:modified>
</cp:coreProperties>
</file>