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E6" w:rsidRPr="00656BF3" w:rsidRDefault="003D0EA6" w:rsidP="00205DB4">
      <w:pPr>
        <w:pStyle w:val="NoSpacing"/>
        <w:jc w:val="center"/>
        <w:rPr>
          <w:rFonts w:cstheme="minorHAnsi"/>
          <w:b/>
        </w:rPr>
      </w:pPr>
      <w:bookmarkStart w:id="0" w:name="_GoBack"/>
      <w:bookmarkEnd w:id="0"/>
      <w:r w:rsidRPr="00656BF3">
        <w:rPr>
          <w:rFonts w:cstheme="minorHAnsi"/>
          <w:b/>
        </w:rPr>
        <w:t>Letter of Medical Necessi</w:t>
      </w:r>
      <w:r w:rsidR="00AD589F">
        <w:rPr>
          <w:rFonts w:cstheme="minorHAnsi"/>
          <w:b/>
        </w:rPr>
        <w:t xml:space="preserve">ty for </w:t>
      </w:r>
      <w:r w:rsidR="00AD589F" w:rsidRPr="00AD589F">
        <w:rPr>
          <w:rFonts w:cstheme="minorHAnsi"/>
          <w:b/>
          <w:i/>
        </w:rPr>
        <w:t>FMR1</w:t>
      </w:r>
      <w:r w:rsidR="00AD589F">
        <w:rPr>
          <w:rFonts w:cstheme="minorHAnsi"/>
          <w:b/>
        </w:rPr>
        <w:t xml:space="preserve"> CGG Repeat Analysis</w:t>
      </w:r>
    </w:p>
    <w:p w:rsidR="00AB2F4A" w:rsidRPr="00656BF3" w:rsidRDefault="00AB2F4A" w:rsidP="00AB2F4A">
      <w:pPr>
        <w:pStyle w:val="NoSpacing"/>
        <w:rPr>
          <w:rFonts w:cstheme="minorHAnsi"/>
          <w:color w:val="FF0000"/>
        </w:rPr>
      </w:pPr>
    </w:p>
    <w:p w:rsidR="00AB2F4A" w:rsidRPr="00656BF3" w:rsidRDefault="00AB2F4A" w:rsidP="00AB2F4A">
      <w:pPr>
        <w:pStyle w:val="NoSpacing"/>
        <w:rPr>
          <w:rFonts w:cstheme="minorHAnsi"/>
          <w:color w:val="FF0000"/>
        </w:rPr>
      </w:pPr>
    </w:p>
    <w:p w:rsidR="00205DB4" w:rsidRPr="00656BF3" w:rsidRDefault="00205DB4" w:rsidP="00AB2F4A">
      <w:pPr>
        <w:pStyle w:val="NoSpacing"/>
        <w:rPr>
          <w:rFonts w:cstheme="minorHAnsi"/>
          <w:color w:val="FF0000"/>
        </w:rPr>
        <w:sectPr w:rsidR="00205DB4" w:rsidRPr="00656B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3146" w:rsidRPr="00656BF3" w:rsidRDefault="00253146" w:rsidP="00AB2F4A">
      <w:pPr>
        <w:pStyle w:val="NoSpacing"/>
        <w:rPr>
          <w:rFonts w:cstheme="minorHAnsi"/>
          <w:b/>
          <w:u w:val="single"/>
        </w:rPr>
      </w:pPr>
      <w:r w:rsidRPr="00656BF3">
        <w:rPr>
          <w:rFonts w:cstheme="minorHAnsi"/>
          <w:b/>
          <w:u w:val="single"/>
        </w:rPr>
        <w:t>Patient Information</w:t>
      </w:r>
    </w:p>
    <w:p w:rsidR="003D0EA6" w:rsidRPr="00656BF3" w:rsidRDefault="003D0EA6" w:rsidP="00AB2F4A">
      <w:pPr>
        <w:pStyle w:val="NoSpacing"/>
        <w:rPr>
          <w:rFonts w:cstheme="minorHAnsi"/>
          <w:b/>
          <w:color w:val="FF0000"/>
        </w:rPr>
      </w:pPr>
      <w:r w:rsidRPr="00656BF3">
        <w:rPr>
          <w:rFonts w:cstheme="minorHAnsi"/>
          <w:b/>
          <w:color w:val="FF0000"/>
        </w:rPr>
        <w:t>Date:</w:t>
      </w:r>
    </w:p>
    <w:p w:rsidR="003D0EA6" w:rsidRPr="00656BF3" w:rsidRDefault="003D0EA6" w:rsidP="00AB2F4A">
      <w:pPr>
        <w:pStyle w:val="NoSpacing"/>
        <w:rPr>
          <w:rFonts w:cstheme="minorHAnsi"/>
          <w:b/>
          <w:color w:val="FF0000"/>
        </w:rPr>
      </w:pPr>
      <w:r w:rsidRPr="00656BF3">
        <w:rPr>
          <w:rFonts w:cstheme="minorHAnsi"/>
          <w:b/>
          <w:color w:val="FF0000"/>
        </w:rPr>
        <w:t>Patient Name:</w:t>
      </w:r>
    </w:p>
    <w:p w:rsidR="003D0EA6" w:rsidRPr="00656BF3" w:rsidRDefault="003D0EA6" w:rsidP="00AB2F4A">
      <w:pPr>
        <w:pStyle w:val="NoSpacing"/>
        <w:rPr>
          <w:rFonts w:cstheme="minorHAnsi"/>
          <w:b/>
          <w:color w:val="FF0000"/>
        </w:rPr>
      </w:pPr>
      <w:r w:rsidRPr="00656BF3">
        <w:rPr>
          <w:rFonts w:cstheme="minorHAnsi"/>
          <w:b/>
          <w:color w:val="FF0000"/>
        </w:rPr>
        <w:t>Patient DOB:</w:t>
      </w:r>
    </w:p>
    <w:p w:rsidR="003D0EA6" w:rsidRPr="00656BF3" w:rsidRDefault="003D0EA6" w:rsidP="00AB2F4A">
      <w:pPr>
        <w:pStyle w:val="NoSpacing"/>
        <w:rPr>
          <w:rFonts w:cstheme="minorHAnsi"/>
          <w:b/>
          <w:color w:val="FF0000"/>
        </w:rPr>
      </w:pPr>
      <w:r w:rsidRPr="00656BF3">
        <w:rPr>
          <w:rFonts w:cstheme="minorHAnsi"/>
          <w:b/>
          <w:color w:val="FF0000"/>
        </w:rPr>
        <w:t>Insurance Company</w:t>
      </w:r>
      <w:r w:rsidR="00B82599" w:rsidRPr="00656BF3">
        <w:rPr>
          <w:rFonts w:cstheme="minorHAnsi"/>
          <w:b/>
          <w:color w:val="FF0000"/>
        </w:rPr>
        <w:t xml:space="preserve"> Name, Address, City, State</w:t>
      </w:r>
      <w:r w:rsidRPr="00656BF3">
        <w:rPr>
          <w:rFonts w:cstheme="minorHAnsi"/>
          <w:b/>
          <w:color w:val="FF0000"/>
        </w:rPr>
        <w:t>:</w:t>
      </w:r>
    </w:p>
    <w:p w:rsidR="003D0EA6" w:rsidRPr="00656BF3" w:rsidRDefault="003D0EA6" w:rsidP="00AB2F4A">
      <w:pPr>
        <w:pStyle w:val="NoSpacing"/>
        <w:rPr>
          <w:rFonts w:cstheme="minorHAnsi"/>
          <w:b/>
          <w:color w:val="FF0000"/>
        </w:rPr>
      </w:pPr>
      <w:r w:rsidRPr="00656BF3">
        <w:rPr>
          <w:rFonts w:cstheme="minorHAnsi"/>
          <w:b/>
          <w:color w:val="FF0000"/>
        </w:rPr>
        <w:t>Policy Number</w:t>
      </w:r>
      <w:r w:rsidR="00253146" w:rsidRPr="00656BF3">
        <w:rPr>
          <w:rFonts w:cstheme="minorHAnsi"/>
          <w:b/>
          <w:color w:val="FF0000"/>
        </w:rPr>
        <w:t>:</w:t>
      </w:r>
    </w:p>
    <w:p w:rsidR="003D0EA6" w:rsidRPr="00656BF3" w:rsidRDefault="003D0EA6" w:rsidP="00AB2F4A">
      <w:pPr>
        <w:pStyle w:val="NoSpacing"/>
        <w:rPr>
          <w:rFonts w:cstheme="minorHAnsi"/>
          <w:b/>
          <w:color w:val="FF0000"/>
        </w:rPr>
      </w:pPr>
      <w:r w:rsidRPr="00656BF3">
        <w:rPr>
          <w:rFonts w:cstheme="minorHAnsi"/>
          <w:b/>
          <w:color w:val="FF0000"/>
        </w:rPr>
        <w:t>Group Number</w:t>
      </w:r>
      <w:r w:rsidR="00253146" w:rsidRPr="00656BF3">
        <w:rPr>
          <w:rFonts w:cstheme="minorHAnsi"/>
          <w:b/>
          <w:color w:val="FF0000"/>
        </w:rPr>
        <w:t>:</w:t>
      </w:r>
    </w:p>
    <w:p w:rsidR="00AB2F4A" w:rsidRPr="00656BF3" w:rsidRDefault="00B82599" w:rsidP="00AB2F4A">
      <w:pPr>
        <w:pStyle w:val="NoSpacing"/>
        <w:rPr>
          <w:rFonts w:cstheme="minorHAnsi"/>
          <w:color w:val="FF0000"/>
        </w:rPr>
      </w:pPr>
      <w:r w:rsidRPr="00656BF3">
        <w:rPr>
          <w:rFonts w:cstheme="minorHAnsi"/>
          <w:b/>
          <w:color w:val="FF0000"/>
        </w:rPr>
        <w:t>ICD10 Codes</w:t>
      </w:r>
      <w:r w:rsidR="00253146" w:rsidRPr="00656BF3">
        <w:rPr>
          <w:rFonts w:cstheme="minorHAnsi"/>
          <w:b/>
          <w:color w:val="FF0000"/>
        </w:rPr>
        <w:t>:</w:t>
      </w:r>
      <w:r w:rsidR="00921AF4" w:rsidRPr="00656BF3">
        <w:rPr>
          <w:rFonts w:cstheme="minorHAnsi"/>
          <w:color w:val="FF0000"/>
        </w:rPr>
        <w:t xml:space="preserve"> </w:t>
      </w:r>
    </w:p>
    <w:p w:rsidR="00205DB4" w:rsidRPr="00656BF3" w:rsidRDefault="00205DB4" w:rsidP="00AB2F4A">
      <w:pPr>
        <w:pStyle w:val="NoSpacing"/>
        <w:rPr>
          <w:rFonts w:cstheme="minorHAnsi"/>
        </w:rPr>
      </w:pPr>
    </w:p>
    <w:p w:rsidR="00205DB4" w:rsidRPr="00656BF3" w:rsidRDefault="00205DB4" w:rsidP="00AB2F4A">
      <w:pPr>
        <w:pStyle w:val="NoSpacing"/>
        <w:rPr>
          <w:rFonts w:cstheme="minorHAnsi"/>
        </w:rPr>
      </w:pPr>
    </w:p>
    <w:p w:rsidR="00F9401A" w:rsidRPr="00656BF3" w:rsidRDefault="00F9401A" w:rsidP="00AB2F4A">
      <w:pPr>
        <w:pStyle w:val="NoSpacing"/>
        <w:rPr>
          <w:rFonts w:cstheme="minorHAnsi"/>
        </w:rPr>
      </w:pPr>
    </w:p>
    <w:p w:rsidR="00205DB4" w:rsidRPr="00656BF3" w:rsidRDefault="00253146" w:rsidP="00AB2F4A">
      <w:pPr>
        <w:pStyle w:val="NoSpacing"/>
        <w:rPr>
          <w:rFonts w:cstheme="minorHAnsi"/>
          <w:b/>
          <w:u w:val="single"/>
        </w:rPr>
      </w:pPr>
      <w:r w:rsidRPr="00656BF3">
        <w:rPr>
          <w:rFonts w:cstheme="minorHAnsi"/>
          <w:b/>
          <w:u w:val="single"/>
        </w:rPr>
        <w:t>Test Information</w:t>
      </w:r>
    </w:p>
    <w:p w:rsidR="002D0B92" w:rsidRPr="00656BF3" w:rsidRDefault="002D0B92" w:rsidP="00AB2F4A">
      <w:pPr>
        <w:pStyle w:val="NoSpacing"/>
        <w:rPr>
          <w:rFonts w:cstheme="minorHAnsi"/>
        </w:rPr>
      </w:pPr>
      <w:r w:rsidRPr="00656BF3">
        <w:rPr>
          <w:rFonts w:cstheme="minorHAnsi"/>
          <w:b/>
        </w:rPr>
        <w:t>Test Name</w:t>
      </w:r>
      <w:r w:rsidR="00FB3BE6" w:rsidRPr="00656BF3">
        <w:rPr>
          <w:rFonts w:cstheme="minorHAnsi"/>
          <w:b/>
        </w:rPr>
        <w:t>:</w:t>
      </w:r>
      <w:r w:rsidR="00BE244D" w:rsidRPr="00656BF3">
        <w:rPr>
          <w:rFonts w:cstheme="minorHAnsi"/>
        </w:rPr>
        <w:t xml:space="preserve">  </w:t>
      </w:r>
      <w:r w:rsidR="00044C72" w:rsidRPr="00044C72">
        <w:rPr>
          <w:rFonts w:cstheme="minorHAnsi"/>
          <w:i/>
        </w:rPr>
        <w:t>FMR1</w:t>
      </w:r>
      <w:r w:rsidR="00044C72">
        <w:rPr>
          <w:rFonts w:cstheme="minorHAnsi"/>
        </w:rPr>
        <w:t xml:space="preserve"> CGG Repeat Analysis</w:t>
      </w:r>
    </w:p>
    <w:p w:rsidR="00F9401A" w:rsidRPr="00656BF3" w:rsidRDefault="002D0B92" w:rsidP="00AB2F4A">
      <w:pPr>
        <w:pStyle w:val="NoSpacing"/>
        <w:rPr>
          <w:rFonts w:cstheme="minorHAnsi"/>
        </w:rPr>
      </w:pPr>
      <w:r w:rsidRPr="00656BF3">
        <w:rPr>
          <w:rFonts w:cstheme="minorHAnsi"/>
          <w:b/>
        </w:rPr>
        <w:t>CPT Codes</w:t>
      </w:r>
      <w:r w:rsidR="00FB3BE6" w:rsidRPr="00656BF3">
        <w:rPr>
          <w:rFonts w:cstheme="minorHAnsi"/>
          <w:b/>
        </w:rPr>
        <w:t>:</w:t>
      </w:r>
      <w:r w:rsidR="0064562A" w:rsidRPr="00656BF3">
        <w:rPr>
          <w:rFonts w:cstheme="minorHAnsi"/>
          <w:b/>
        </w:rPr>
        <w:t xml:space="preserve">  </w:t>
      </w:r>
      <w:r w:rsidR="00AD589F" w:rsidRPr="00AD589F">
        <w:rPr>
          <w:rFonts w:cstheme="minorHAnsi"/>
        </w:rPr>
        <w:t>81243x1</w:t>
      </w:r>
    </w:p>
    <w:p w:rsidR="008706C4" w:rsidRPr="00656BF3" w:rsidRDefault="00FB3BE6" w:rsidP="00AB2F4A">
      <w:pPr>
        <w:pStyle w:val="NoSpacing"/>
        <w:rPr>
          <w:rFonts w:cstheme="minorHAnsi"/>
          <w:b/>
        </w:rPr>
      </w:pPr>
      <w:r w:rsidRPr="00656BF3">
        <w:rPr>
          <w:rFonts w:cstheme="minorHAnsi"/>
          <w:b/>
        </w:rPr>
        <w:t xml:space="preserve">Laboratory: </w:t>
      </w:r>
    </w:p>
    <w:p w:rsidR="00253146" w:rsidRPr="00656BF3" w:rsidRDefault="008706C4" w:rsidP="00AB2F4A">
      <w:pPr>
        <w:pStyle w:val="NoSpacing"/>
        <w:rPr>
          <w:rFonts w:cstheme="minorHAnsi"/>
        </w:rPr>
      </w:pPr>
      <w:r w:rsidRPr="00656BF3">
        <w:rPr>
          <w:rFonts w:cstheme="minorHAnsi"/>
        </w:rPr>
        <w:t>GeneDx</w:t>
      </w:r>
      <w:r w:rsidR="00D17422" w:rsidRPr="00656BF3">
        <w:rPr>
          <w:rFonts w:cstheme="minorHAnsi"/>
        </w:rPr>
        <w:t xml:space="preserve">, Inc. </w:t>
      </w:r>
      <w:r w:rsidR="00205DB4" w:rsidRPr="00656BF3">
        <w:rPr>
          <w:rFonts w:cstheme="minorHAnsi"/>
        </w:rPr>
        <w:t xml:space="preserve"> </w:t>
      </w:r>
    </w:p>
    <w:p w:rsidR="00205DB4" w:rsidRPr="00656BF3" w:rsidRDefault="00FB3BE6" w:rsidP="00AB2F4A">
      <w:pPr>
        <w:pStyle w:val="NoSpacing"/>
        <w:rPr>
          <w:rFonts w:cstheme="minorHAnsi"/>
        </w:rPr>
      </w:pPr>
      <w:r w:rsidRPr="00656BF3">
        <w:rPr>
          <w:rFonts w:cstheme="minorHAnsi"/>
        </w:rPr>
        <w:t>(NPI#1487632998 / TAXID#205446298 / CLIA#21D0969951)</w:t>
      </w:r>
    </w:p>
    <w:p w:rsidR="00AB2F4A" w:rsidRPr="00656BF3" w:rsidRDefault="00AB2F4A" w:rsidP="00AB2F4A">
      <w:pPr>
        <w:pStyle w:val="NoSpacing"/>
        <w:rPr>
          <w:rFonts w:cstheme="minorHAnsi"/>
          <w:color w:val="FF0000"/>
        </w:rPr>
      </w:pPr>
      <w:r w:rsidRPr="00656BF3">
        <w:rPr>
          <w:rFonts w:cstheme="minorHAnsi"/>
        </w:rPr>
        <w:t>207 Perry Parkway</w:t>
      </w:r>
    </w:p>
    <w:p w:rsidR="00AB2F4A" w:rsidRPr="00656BF3" w:rsidRDefault="00AB2F4A" w:rsidP="00AB2F4A">
      <w:pPr>
        <w:pStyle w:val="NoSpacing"/>
        <w:rPr>
          <w:rFonts w:cstheme="minorHAnsi"/>
        </w:rPr>
      </w:pPr>
      <w:r w:rsidRPr="00656BF3">
        <w:rPr>
          <w:rFonts w:cstheme="minorHAnsi"/>
        </w:rPr>
        <w:lastRenderedPageBreak/>
        <w:t>Gaithersburg, MD 20877</w:t>
      </w:r>
    </w:p>
    <w:p w:rsidR="00AB2F4A" w:rsidRPr="00656BF3" w:rsidRDefault="00AB2F4A" w:rsidP="00AB2F4A">
      <w:pPr>
        <w:pStyle w:val="NoSpacing"/>
        <w:rPr>
          <w:rFonts w:cstheme="minorHAnsi"/>
        </w:rPr>
      </w:pPr>
      <w:r w:rsidRPr="00656BF3">
        <w:rPr>
          <w:rFonts w:cstheme="minorHAnsi"/>
        </w:rPr>
        <w:t>Telephone:</w:t>
      </w:r>
      <w:r w:rsidR="0064562A" w:rsidRPr="00656BF3">
        <w:rPr>
          <w:rFonts w:cstheme="minorHAnsi"/>
        </w:rPr>
        <w:t xml:space="preserve"> (301) 519-2100</w:t>
      </w:r>
    </w:p>
    <w:p w:rsidR="002D0B92" w:rsidRPr="00656BF3" w:rsidRDefault="00AB2F4A" w:rsidP="00AB2F4A">
      <w:pPr>
        <w:pStyle w:val="NoSpacing"/>
        <w:rPr>
          <w:rFonts w:cstheme="minorHAnsi"/>
        </w:rPr>
      </w:pPr>
      <w:r w:rsidRPr="00656BF3">
        <w:rPr>
          <w:rFonts w:cstheme="minorHAnsi"/>
        </w:rPr>
        <w:t xml:space="preserve">Fax: </w:t>
      </w:r>
      <w:r w:rsidR="0064562A" w:rsidRPr="00656BF3">
        <w:rPr>
          <w:rFonts w:cstheme="minorHAnsi"/>
        </w:rPr>
        <w:t>(201) 421-2010</w:t>
      </w:r>
    </w:p>
    <w:p w:rsidR="00AB2F4A" w:rsidRPr="00656BF3" w:rsidRDefault="00AB2F4A" w:rsidP="00AB2F4A">
      <w:pPr>
        <w:pStyle w:val="NoSpacing"/>
        <w:rPr>
          <w:rFonts w:cstheme="minorHAnsi"/>
        </w:rPr>
        <w:sectPr w:rsidR="00AB2F4A" w:rsidRPr="00656BF3" w:rsidSect="00AB2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05DB4" w:rsidRPr="00656BF3" w:rsidRDefault="00205DB4" w:rsidP="00AB2F4A">
      <w:pPr>
        <w:pStyle w:val="NoSpacing"/>
        <w:rPr>
          <w:rFonts w:cstheme="minorHAnsi"/>
        </w:rPr>
      </w:pPr>
    </w:p>
    <w:p w:rsidR="00F74480" w:rsidRPr="00656BF3" w:rsidRDefault="00F74480" w:rsidP="00AB2F4A">
      <w:pPr>
        <w:pStyle w:val="NoSpacing"/>
        <w:rPr>
          <w:rFonts w:cstheme="minorHAnsi"/>
        </w:rPr>
      </w:pPr>
      <w:r w:rsidRPr="00656BF3">
        <w:rPr>
          <w:rFonts w:cstheme="minorHAnsi"/>
        </w:rPr>
        <w:t xml:space="preserve">This letter is in regards to my patient, </w:t>
      </w:r>
      <w:r w:rsidR="002D0B92" w:rsidRPr="00656BF3">
        <w:rPr>
          <w:rFonts w:cstheme="minorHAnsi"/>
          <w:color w:val="FF0000"/>
        </w:rPr>
        <w:t>[</w:t>
      </w:r>
      <w:r w:rsidRPr="00656BF3">
        <w:rPr>
          <w:rFonts w:cstheme="minorHAnsi"/>
          <w:color w:val="FF0000"/>
        </w:rPr>
        <w:t>FIRST NAME LAST NAME</w:t>
      </w:r>
      <w:r w:rsidR="002D0B92" w:rsidRPr="00656BF3">
        <w:rPr>
          <w:rFonts w:cstheme="minorHAnsi"/>
          <w:color w:val="FF0000"/>
        </w:rPr>
        <w:t>]</w:t>
      </w:r>
      <w:r w:rsidR="0064562A" w:rsidRPr="00656BF3">
        <w:rPr>
          <w:rFonts w:cstheme="minorHAnsi"/>
        </w:rPr>
        <w:t>, to requ</w:t>
      </w:r>
      <w:r w:rsidR="00503AB6" w:rsidRPr="00656BF3">
        <w:rPr>
          <w:rFonts w:cstheme="minorHAnsi"/>
        </w:rPr>
        <w:t>est f</w:t>
      </w:r>
      <w:r w:rsidR="00044C72">
        <w:rPr>
          <w:rFonts w:cstheme="minorHAnsi"/>
        </w:rPr>
        <w:t xml:space="preserve">ull coverage for the </w:t>
      </w:r>
      <w:r w:rsidR="00044C72" w:rsidRPr="00044C72">
        <w:rPr>
          <w:rFonts w:cstheme="minorHAnsi"/>
          <w:i/>
        </w:rPr>
        <w:t>FMR1</w:t>
      </w:r>
      <w:r w:rsidR="00044C72">
        <w:rPr>
          <w:rFonts w:cstheme="minorHAnsi"/>
        </w:rPr>
        <w:t xml:space="preserve"> CGG Repeat Analysis</w:t>
      </w:r>
      <w:r w:rsidR="00503AB6" w:rsidRPr="00656BF3">
        <w:rPr>
          <w:rFonts w:cstheme="minorHAnsi"/>
        </w:rPr>
        <w:t xml:space="preserve"> </w:t>
      </w:r>
      <w:r w:rsidRPr="00656BF3">
        <w:rPr>
          <w:rFonts w:cstheme="minorHAnsi"/>
        </w:rPr>
        <w:t>to be perfo</w:t>
      </w:r>
      <w:r w:rsidR="008706C4" w:rsidRPr="00656BF3">
        <w:rPr>
          <w:rFonts w:cstheme="minorHAnsi"/>
        </w:rPr>
        <w:t>r</w:t>
      </w:r>
      <w:r w:rsidRPr="00656BF3">
        <w:rPr>
          <w:rFonts w:cstheme="minorHAnsi"/>
        </w:rPr>
        <w:t>med by GeneDx</w:t>
      </w:r>
      <w:r w:rsidR="002D0B92" w:rsidRPr="00656BF3">
        <w:rPr>
          <w:rFonts w:cstheme="minorHAnsi"/>
        </w:rPr>
        <w:t xml:space="preserve">.  </w:t>
      </w:r>
      <w:r w:rsidRPr="00656BF3">
        <w:rPr>
          <w:rFonts w:cstheme="minorHAnsi"/>
        </w:rPr>
        <w:t xml:space="preserve">It is my professional determination that testing is medically necessary and will have a direct impact on this patient’s treatment and management.   </w:t>
      </w:r>
    </w:p>
    <w:p w:rsidR="006337EC" w:rsidRPr="00656BF3" w:rsidRDefault="006337EC" w:rsidP="00AB2F4A">
      <w:pPr>
        <w:pStyle w:val="NoSpacing"/>
        <w:rPr>
          <w:rFonts w:cstheme="minorHAnsi"/>
        </w:rPr>
      </w:pPr>
    </w:p>
    <w:p w:rsidR="00B374A4" w:rsidRPr="00656BF3" w:rsidRDefault="00B374A4" w:rsidP="00656BF3">
      <w:pPr>
        <w:pStyle w:val="NoSpacing"/>
        <w:rPr>
          <w:rFonts w:cstheme="minorHAnsi"/>
          <w:b/>
        </w:rPr>
      </w:pPr>
      <w:r w:rsidRPr="00656BF3">
        <w:rPr>
          <w:rFonts w:cstheme="minorHAnsi"/>
          <w:b/>
        </w:rPr>
        <w:t>Patient Clinical and Family History</w:t>
      </w:r>
    </w:p>
    <w:p w:rsidR="006337EC" w:rsidRPr="00656BF3" w:rsidRDefault="006337EC" w:rsidP="00656BF3">
      <w:pPr>
        <w:pStyle w:val="NoSpacing"/>
        <w:rPr>
          <w:rFonts w:cstheme="minorHAnsi"/>
        </w:rPr>
      </w:pPr>
      <w:r w:rsidRPr="00656BF3">
        <w:rPr>
          <w:rFonts w:cstheme="minorHAnsi"/>
        </w:rPr>
        <w:t>This testing is requested due to this patient’s person</w:t>
      </w:r>
      <w:r w:rsidR="00855940" w:rsidRPr="00656BF3">
        <w:rPr>
          <w:rFonts w:cstheme="minorHAnsi"/>
        </w:rPr>
        <w:t>al medical history, which includes the following clinical findings</w:t>
      </w:r>
      <w:r w:rsidRPr="00656BF3">
        <w:rPr>
          <w:rFonts w:cstheme="minorHAnsi"/>
        </w:rPr>
        <w:t xml:space="preserve">:  </w:t>
      </w:r>
    </w:p>
    <w:p w:rsidR="006337EC" w:rsidRPr="00656BF3" w:rsidRDefault="006337EC" w:rsidP="00656BF3">
      <w:pPr>
        <w:pStyle w:val="NoSpacing"/>
        <w:rPr>
          <w:rFonts w:cstheme="minorHAnsi"/>
        </w:rPr>
      </w:pPr>
    </w:p>
    <w:p w:rsidR="006337EC" w:rsidRPr="00656BF3" w:rsidRDefault="006337EC" w:rsidP="00656BF3">
      <w:pPr>
        <w:pStyle w:val="NoSpacing"/>
        <w:numPr>
          <w:ilvl w:val="0"/>
          <w:numId w:val="6"/>
        </w:numPr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 xml:space="preserve">Add Phenotype </w:t>
      </w:r>
    </w:p>
    <w:p w:rsidR="006337EC" w:rsidRPr="00656BF3" w:rsidRDefault="006337EC" w:rsidP="00656BF3">
      <w:pPr>
        <w:pStyle w:val="NoSpacing"/>
        <w:numPr>
          <w:ilvl w:val="0"/>
          <w:numId w:val="6"/>
        </w:numPr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 xml:space="preserve">Add Phenotype </w:t>
      </w:r>
    </w:p>
    <w:p w:rsidR="006337EC" w:rsidRPr="00656BF3" w:rsidRDefault="006337EC" w:rsidP="00656BF3">
      <w:pPr>
        <w:pStyle w:val="NoSpacing"/>
        <w:numPr>
          <w:ilvl w:val="0"/>
          <w:numId w:val="6"/>
        </w:numPr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>Add Phenotype</w:t>
      </w:r>
    </w:p>
    <w:p w:rsidR="00855940" w:rsidRPr="00656BF3" w:rsidRDefault="00855940" w:rsidP="00656BF3">
      <w:pPr>
        <w:pStyle w:val="NoSpacing"/>
        <w:rPr>
          <w:rFonts w:cstheme="minorHAnsi"/>
          <w:color w:val="FF0000"/>
        </w:rPr>
      </w:pPr>
    </w:p>
    <w:p w:rsidR="00855940" w:rsidRPr="00656BF3" w:rsidRDefault="00855940" w:rsidP="00656BF3">
      <w:pPr>
        <w:pStyle w:val="NoSpacing"/>
        <w:rPr>
          <w:rFonts w:cstheme="minorHAnsi"/>
        </w:rPr>
      </w:pPr>
      <w:r w:rsidRPr="00656BF3">
        <w:rPr>
          <w:rFonts w:cstheme="minorHAnsi"/>
        </w:rPr>
        <w:t xml:space="preserve">The patient’s family history is </w:t>
      </w:r>
      <w:r w:rsidRPr="00656BF3">
        <w:rPr>
          <w:rFonts w:cstheme="minorHAnsi"/>
          <w:color w:val="FF0000"/>
        </w:rPr>
        <w:t xml:space="preserve">negative for related conditions / unknown / remarkable for the following related clinical features: </w:t>
      </w:r>
    </w:p>
    <w:p w:rsidR="00ED14F6" w:rsidRPr="00656BF3" w:rsidRDefault="00ED14F6" w:rsidP="00656BF3">
      <w:pPr>
        <w:pStyle w:val="NoSpacing"/>
        <w:rPr>
          <w:rFonts w:cstheme="minorHAnsi"/>
        </w:rPr>
      </w:pPr>
    </w:p>
    <w:p w:rsidR="00ED14F6" w:rsidRPr="00656BF3" w:rsidRDefault="00ED14F6" w:rsidP="00656BF3">
      <w:pPr>
        <w:pStyle w:val="NoSpacing"/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lastRenderedPageBreak/>
        <w:t>The patient has previously had the following uninformative genetic and other testing:</w:t>
      </w:r>
    </w:p>
    <w:p w:rsidR="00ED14F6" w:rsidRPr="00656BF3" w:rsidRDefault="00ED14F6" w:rsidP="00656BF3">
      <w:pPr>
        <w:pStyle w:val="NoSpacing"/>
        <w:numPr>
          <w:ilvl w:val="0"/>
          <w:numId w:val="9"/>
        </w:numPr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>Add test</w:t>
      </w:r>
    </w:p>
    <w:p w:rsidR="00ED14F6" w:rsidRPr="00656BF3" w:rsidRDefault="00ED14F6" w:rsidP="00656BF3">
      <w:pPr>
        <w:pStyle w:val="NoSpacing"/>
        <w:numPr>
          <w:ilvl w:val="0"/>
          <w:numId w:val="9"/>
        </w:numPr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>Add test</w:t>
      </w:r>
    </w:p>
    <w:p w:rsidR="00ED14F6" w:rsidRPr="00656BF3" w:rsidRDefault="00ED14F6" w:rsidP="00656BF3">
      <w:pPr>
        <w:pStyle w:val="NoSpacing"/>
        <w:numPr>
          <w:ilvl w:val="0"/>
          <w:numId w:val="9"/>
        </w:numPr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>Add test</w:t>
      </w:r>
    </w:p>
    <w:p w:rsidR="00205DB4" w:rsidRPr="00656BF3" w:rsidRDefault="00205DB4" w:rsidP="00656BF3">
      <w:pPr>
        <w:pStyle w:val="NoSpacing"/>
        <w:rPr>
          <w:rFonts w:cstheme="minorHAnsi"/>
        </w:rPr>
      </w:pPr>
    </w:p>
    <w:p w:rsidR="00B374A4" w:rsidRPr="00656BF3" w:rsidRDefault="00776731" w:rsidP="00656BF3">
      <w:pPr>
        <w:pStyle w:val="NoSpacing"/>
        <w:rPr>
          <w:rFonts w:cstheme="minorHAnsi"/>
          <w:b/>
        </w:rPr>
      </w:pPr>
      <w:r w:rsidRPr="00656BF3">
        <w:rPr>
          <w:rFonts w:cstheme="minorHAnsi"/>
          <w:b/>
        </w:rPr>
        <w:t>Clinical Evidence and Guidelines for Testing</w:t>
      </w:r>
    </w:p>
    <w:p w:rsidR="00924501" w:rsidRDefault="00924501" w:rsidP="00924501">
      <w:pPr>
        <w:spacing w:after="0" w:line="240" w:lineRule="auto"/>
      </w:pPr>
      <w:r w:rsidRPr="003E3F4A">
        <w:rPr>
          <w:i/>
        </w:rPr>
        <w:t xml:space="preserve">FMR1 </w:t>
      </w:r>
      <w:r w:rsidRPr="00090DD4">
        <w:t xml:space="preserve">genetic testing can detect several </w:t>
      </w:r>
      <w:r w:rsidRPr="003E3F4A">
        <w:rPr>
          <w:i/>
        </w:rPr>
        <w:t>FMR1</w:t>
      </w:r>
      <w:r w:rsidRPr="00090DD4">
        <w:t>-related disorders, including fragile X syndrome, fragile X-associated tremor/ataxia syndrome (FXTAS), and premature ovaria</w:t>
      </w:r>
      <w:r>
        <w:t>n insufficiency (POI).</w:t>
      </w:r>
    </w:p>
    <w:p w:rsidR="00924501" w:rsidRPr="00090DD4" w:rsidRDefault="00924501" w:rsidP="00924501">
      <w:pPr>
        <w:spacing w:after="0" w:line="240" w:lineRule="auto"/>
      </w:pPr>
    </w:p>
    <w:p w:rsidR="00924501" w:rsidRDefault="00924501" w:rsidP="00924501">
      <w:pPr>
        <w:spacing w:after="0" w:line="240" w:lineRule="auto"/>
        <w:rPr>
          <w:vertAlign w:val="superscript"/>
        </w:rPr>
      </w:pPr>
      <w:r w:rsidRPr="008B1692">
        <w:t>Fragile X syndrome type A (FXS or FRAXA) is the most common inherited c</w:t>
      </w:r>
      <w:r w:rsidR="009B3933">
        <w:t>ause of intellectual disability</w:t>
      </w:r>
      <w:r w:rsidRPr="008B1692">
        <w:t>.</w:t>
      </w:r>
      <w:r w:rsidRPr="008B1692">
        <w:rPr>
          <w:vertAlign w:val="superscript"/>
        </w:rPr>
        <w:t>1,2</w:t>
      </w:r>
      <w:r w:rsidRPr="008B1692">
        <w:t xml:space="preserve"> Nearly all cases of FXS are caused by the expansion of an unstable CGG repeat in the 5’ untranslated region of the</w:t>
      </w:r>
      <w:r w:rsidRPr="0026097D">
        <w:t xml:space="preserve"> </w:t>
      </w:r>
      <w:r w:rsidRPr="00924501">
        <w:rPr>
          <w:i/>
          <w:iCs/>
        </w:rPr>
        <w:t>FMR1</w:t>
      </w:r>
      <w:r w:rsidRPr="008B1692">
        <w:rPr>
          <w:i/>
          <w:iCs/>
        </w:rPr>
        <w:t xml:space="preserve"> </w:t>
      </w:r>
      <w:r w:rsidRPr="008B1692">
        <w:t>gene. Males with FXS exhibit mild to severe intellectual disabilit</w:t>
      </w:r>
      <w:r>
        <w:t xml:space="preserve">y, often associated with autism </w:t>
      </w:r>
      <w:r w:rsidRPr="008B1692">
        <w:t>spectrum disorders, ADHD, speech and language delay, anxiety, macrocephaly</w:t>
      </w:r>
      <w:r>
        <w:t>,</w:t>
      </w:r>
      <w:r w:rsidRPr="008B1692">
        <w:t xml:space="preserve"> and a distinctive facial appearance.  Females with full mutations exhibit a broad spe</w:t>
      </w:r>
      <w:r w:rsidR="009B3933">
        <w:t xml:space="preserve">ctrum of clinical presentations </w:t>
      </w:r>
      <w:r w:rsidR="009B3933">
        <w:lastRenderedPageBreak/>
        <w:t xml:space="preserve">ranging from </w:t>
      </w:r>
      <w:r w:rsidRPr="008B1692">
        <w:t>significant cognitive, behavioral, and physical features of FXS similar to those observed in males, while others have normal intelligence with only subtle learning disabilities.</w:t>
      </w:r>
      <w:r w:rsidRPr="008B1692">
        <w:rPr>
          <w:vertAlign w:val="superscript"/>
        </w:rPr>
        <w:t>1</w:t>
      </w:r>
    </w:p>
    <w:p w:rsidR="00924501" w:rsidRPr="008B1692" w:rsidRDefault="00924501" w:rsidP="00924501">
      <w:pPr>
        <w:spacing w:after="0" w:line="240" w:lineRule="auto"/>
      </w:pPr>
    </w:p>
    <w:p w:rsidR="00924501" w:rsidRDefault="00924501" w:rsidP="00924501">
      <w:pPr>
        <w:spacing w:after="0" w:line="240" w:lineRule="auto"/>
        <w:rPr>
          <w:vertAlign w:val="superscript"/>
        </w:rPr>
      </w:pPr>
      <w:r w:rsidRPr="008B1692">
        <w:t xml:space="preserve">An estimated 1 in 259 females and 1 in 755 males in the general population have an </w:t>
      </w:r>
      <w:r w:rsidRPr="00924501">
        <w:rPr>
          <w:i/>
        </w:rPr>
        <w:t>FMR1</w:t>
      </w:r>
      <w:r w:rsidRPr="008B1692">
        <w:t xml:space="preserve"> premutation.</w:t>
      </w:r>
      <w:r w:rsidRPr="008B1692">
        <w:rPr>
          <w:vertAlign w:val="superscript"/>
        </w:rPr>
        <w:t>1</w:t>
      </w:r>
      <w:r w:rsidRPr="008B1692">
        <w:t xml:space="preserve"> Premutation carriers have an increased risk for neurological, psychiatric, and physical disorders. Approximately 40% of male and 8-17% of female premutation carriers over the age of 50 report experiencing symptoms of FXTAS.</w:t>
      </w:r>
      <w:r w:rsidRPr="008B1692">
        <w:rPr>
          <w:vertAlign w:val="superscript"/>
        </w:rPr>
        <w:t>3</w:t>
      </w:r>
      <w:r w:rsidRPr="008B1692">
        <w:t xml:space="preserve"> FXTAS is a neurodegenerative disorder characterized by cerebellar ataxia, intention tremor, parkinsonism, progressive cognitive decline, and psychiatric disorders.</w:t>
      </w:r>
      <w:r w:rsidRPr="008B1692">
        <w:rPr>
          <w:vertAlign w:val="superscript"/>
        </w:rPr>
        <w:t>3</w:t>
      </w:r>
      <w:r w:rsidRPr="008B1692">
        <w:t xml:space="preserve"> Additionally, approximately 21% of female premutation carriers develop POI leading to early menopause and infertility.</w:t>
      </w:r>
      <w:r w:rsidRPr="008B1692">
        <w:rPr>
          <w:vertAlign w:val="superscript"/>
        </w:rPr>
        <w:t>3</w:t>
      </w:r>
    </w:p>
    <w:p w:rsidR="00924501" w:rsidRPr="008B1692" w:rsidRDefault="00924501" w:rsidP="00924501">
      <w:pPr>
        <w:spacing w:after="0" w:line="240" w:lineRule="auto"/>
      </w:pPr>
    </w:p>
    <w:p w:rsidR="00924501" w:rsidRDefault="00924501" w:rsidP="00924501">
      <w:pPr>
        <w:spacing w:after="0" w:line="240" w:lineRule="auto"/>
        <w:rPr>
          <w:vertAlign w:val="superscript"/>
        </w:rPr>
      </w:pPr>
      <w:r w:rsidRPr="008B1692">
        <w:t>This patient’s healthcare provider recommended</w:t>
      </w:r>
      <w:r>
        <w:t>,</w:t>
      </w:r>
      <w:r w:rsidRPr="008B1692">
        <w:t xml:space="preserve"> and ordered</w:t>
      </w:r>
      <w:r>
        <w:t>,</w:t>
      </w:r>
      <w:r w:rsidRPr="008B1692">
        <w:t xml:space="preserve"> this testing because the results will guide appropriate medical management for this patient</w:t>
      </w:r>
      <w:r>
        <w:t xml:space="preserve">. </w:t>
      </w:r>
      <w:r w:rsidRPr="008B1692">
        <w:t xml:space="preserve">The American College of Medical Genetics (ACMG), American Academy of Pediatrics (AAP), and the American Academy of Neurology (AAN) support fragile X syndrome genetic testing as a first-tier diagnostic test for individuals </w:t>
      </w:r>
      <w:r w:rsidRPr="008B1692">
        <w:lastRenderedPageBreak/>
        <w:t>with developmental delay, intellectual disability, and/or autism spectrum disorders.</w:t>
      </w:r>
      <w:r w:rsidRPr="008B1692">
        <w:rPr>
          <w:vertAlign w:val="superscript"/>
        </w:rPr>
        <w:t>4,5,6</w:t>
      </w:r>
    </w:p>
    <w:p w:rsidR="00924501" w:rsidRPr="008B1692" w:rsidRDefault="00924501" w:rsidP="00924501">
      <w:pPr>
        <w:spacing w:after="0" w:line="240" w:lineRule="auto"/>
      </w:pPr>
    </w:p>
    <w:p w:rsidR="00B374A4" w:rsidRPr="00656BF3" w:rsidRDefault="00776731" w:rsidP="00656BF3">
      <w:pPr>
        <w:pStyle w:val="NoSpacing"/>
        <w:rPr>
          <w:rFonts w:cstheme="minorHAnsi"/>
          <w:b/>
        </w:rPr>
      </w:pPr>
      <w:r w:rsidRPr="00656BF3">
        <w:rPr>
          <w:rFonts w:cstheme="minorHAnsi"/>
          <w:b/>
        </w:rPr>
        <w:t xml:space="preserve">Patient Clinical Utility and </w:t>
      </w:r>
      <w:r w:rsidR="00B374A4" w:rsidRPr="00656BF3">
        <w:rPr>
          <w:rFonts w:cstheme="minorHAnsi"/>
          <w:b/>
        </w:rPr>
        <w:t xml:space="preserve">Medical Management Implications </w:t>
      </w:r>
    </w:p>
    <w:p w:rsidR="00924501" w:rsidRPr="008B1692" w:rsidRDefault="00B27690" w:rsidP="00924501">
      <w:pPr>
        <w:spacing w:after="0" w:line="240" w:lineRule="auto"/>
      </w:pPr>
      <w:r w:rsidRPr="00656BF3">
        <w:rPr>
          <w:rFonts w:cstheme="minorHAnsi"/>
        </w:rPr>
        <w:t xml:space="preserve">The </w:t>
      </w:r>
      <w:r w:rsidR="00D17422" w:rsidRPr="00656BF3">
        <w:rPr>
          <w:rFonts w:cstheme="minorHAnsi"/>
        </w:rPr>
        <w:t xml:space="preserve">test </w:t>
      </w:r>
      <w:r w:rsidRPr="00656BF3">
        <w:rPr>
          <w:rFonts w:cstheme="minorHAnsi"/>
        </w:rPr>
        <w:t>results</w:t>
      </w:r>
      <w:r w:rsidR="00F339A7" w:rsidRPr="00656BF3">
        <w:rPr>
          <w:rFonts w:cstheme="minorHAnsi"/>
        </w:rPr>
        <w:t xml:space="preserve"> will guide</w:t>
      </w:r>
      <w:r w:rsidR="00E04C9D" w:rsidRPr="00656BF3">
        <w:rPr>
          <w:rFonts w:cstheme="minorHAnsi"/>
        </w:rPr>
        <w:t xml:space="preserve"> and tailor</w:t>
      </w:r>
      <w:r w:rsidR="00F339A7" w:rsidRPr="00656BF3">
        <w:rPr>
          <w:rFonts w:cstheme="minorHAnsi"/>
        </w:rPr>
        <w:t xml:space="preserve"> appropriate medical management </w:t>
      </w:r>
      <w:r w:rsidR="00D17422" w:rsidRPr="00656BF3">
        <w:rPr>
          <w:rFonts w:cstheme="minorHAnsi"/>
        </w:rPr>
        <w:t xml:space="preserve">and treatment </w:t>
      </w:r>
      <w:r w:rsidR="00F339A7" w:rsidRPr="00656BF3">
        <w:rPr>
          <w:rFonts w:cstheme="minorHAnsi"/>
        </w:rPr>
        <w:t>for this patient</w:t>
      </w:r>
      <w:r w:rsidR="00F9401A" w:rsidRPr="00656BF3">
        <w:rPr>
          <w:rFonts w:cstheme="minorHAnsi"/>
        </w:rPr>
        <w:t>, which</w:t>
      </w:r>
      <w:r w:rsidR="00FB611B" w:rsidRPr="00656BF3">
        <w:rPr>
          <w:rFonts w:cstheme="minorHAnsi"/>
        </w:rPr>
        <w:t xml:space="preserve"> would not be possible without this testing</w:t>
      </w:r>
      <w:r w:rsidR="00F339A7" w:rsidRPr="00656BF3">
        <w:rPr>
          <w:rFonts w:cstheme="minorHAnsi"/>
        </w:rPr>
        <w:t>.</w:t>
      </w:r>
      <w:r w:rsidR="00E04C9D" w:rsidRPr="00656BF3">
        <w:rPr>
          <w:rFonts w:cstheme="minorHAnsi"/>
        </w:rPr>
        <w:t xml:space="preserve">  </w:t>
      </w:r>
      <w:r w:rsidR="00924501" w:rsidRPr="008B1692">
        <w:t>The American Academy of Pediatrics has established Health Supervision Guidelines for individuals with fragile X syndrome.</w:t>
      </w:r>
      <w:r w:rsidR="00924501" w:rsidRPr="008B1692">
        <w:rPr>
          <w:vertAlign w:val="superscript"/>
        </w:rPr>
        <w:t>7</w:t>
      </w:r>
      <w:r w:rsidR="00924501">
        <w:t xml:space="preserve"> </w:t>
      </w:r>
      <w:r w:rsidR="00924501" w:rsidRPr="008B1692">
        <w:t>Identification of a definitive g</w:t>
      </w:r>
      <w:r w:rsidR="00924501">
        <w:t>enetic diagnosis enables health</w:t>
      </w:r>
      <w:r w:rsidR="00924501" w:rsidRPr="008B1692">
        <w:t>care providers to identify associated medical risks that may require intervention or ongoing management and to select appropriate therapeutic interventions.</w:t>
      </w:r>
      <w:r w:rsidR="00924501" w:rsidRPr="008B1692">
        <w:rPr>
          <w:vertAlign w:val="superscript"/>
        </w:rPr>
        <w:t>7</w:t>
      </w:r>
      <w:r w:rsidR="00924501" w:rsidRPr="008B1692">
        <w:t xml:space="preserve"> For example, individuals with fragile X syndrome are at increased to develop mitral valve prolapse, so they should have regular monitoring and be referred for an echocardiogram if a murmur is noted.</w:t>
      </w:r>
      <w:r w:rsidR="00924501" w:rsidRPr="008B1692">
        <w:rPr>
          <w:vertAlign w:val="superscript"/>
        </w:rPr>
        <w:t>7,8</w:t>
      </w:r>
      <w:r w:rsidR="00924501">
        <w:t xml:space="preserve"> </w:t>
      </w:r>
      <w:r w:rsidR="00924501" w:rsidRPr="008B1692">
        <w:t>Confirmation of the diagnosis also prevents additional, unnecessary diagnostic testing and provides information about future prognosis and recurrence risk.</w:t>
      </w:r>
      <w:r w:rsidR="00924501" w:rsidRPr="008B1692">
        <w:rPr>
          <w:vertAlign w:val="superscript"/>
        </w:rPr>
        <w:t>1,7</w:t>
      </w:r>
    </w:p>
    <w:p w:rsidR="00656BF3" w:rsidRPr="00656BF3" w:rsidRDefault="00656BF3" w:rsidP="00656BF3">
      <w:pPr>
        <w:spacing w:after="0" w:line="240" w:lineRule="auto"/>
        <w:rPr>
          <w:rFonts w:cstheme="minorHAnsi"/>
        </w:rPr>
      </w:pPr>
    </w:p>
    <w:p w:rsidR="00887B41" w:rsidRPr="00656BF3" w:rsidRDefault="00887B41" w:rsidP="00656BF3">
      <w:pPr>
        <w:pStyle w:val="NoSpacing"/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>Specifically for this patient,</w:t>
      </w:r>
      <w:r w:rsidR="00924501">
        <w:rPr>
          <w:rFonts w:cstheme="minorHAnsi"/>
          <w:color w:val="FF0000"/>
        </w:rPr>
        <w:t xml:space="preserve"> the results of </w:t>
      </w:r>
      <w:r w:rsidR="00924501" w:rsidRPr="00924501">
        <w:rPr>
          <w:rFonts w:cstheme="minorHAnsi"/>
          <w:i/>
          <w:color w:val="FF0000"/>
        </w:rPr>
        <w:t>FMR1</w:t>
      </w:r>
      <w:r w:rsidR="00924501">
        <w:rPr>
          <w:rFonts w:cstheme="minorHAnsi"/>
          <w:color w:val="FF0000"/>
        </w:rPr>
        <w:t xml:space="preserve"> CGG Repeat Analysis</w:t>
      </w:r>
      <w:r w:rsidR="00503AB6" w:rsidRPr="00656BF3">
        <w:rPr>
          <w:rFonts w:cstheme="minorHAnsi"/>
          <w:color w:val="FF0000"/>
        </w:rPr>
        <w:t xml:space="preserve"> will</w:t>
      </w:r>
      <w:r w:rsidRPr="00656BF3">
        <w:rPr>
          <w:rFonts w:cstheme="minorHAnsi"/>
          <w:color w:val="FF0000"/>
        </w:rPr>
        <w:t xml:space="preserve"> </w:t>
      </w:r>
      <w:r w:rsidR="00535623" w:rsidRPr="00656BF3">
        <w:rPr>
          <w:rFonts w:cstheme="minorHAnsi"/>
          <w:color w:val="FF0000"/>
        </w:rPr>
        <w:t>{</w:t>
      </w:r>
      <w:r w:rsidRPr="00656BF3">
        <w:rPr>
          <w:rFonts w:cstheme="minorHAnsi"/>
          <w:color w:val="FF0000"/>
        </w:rPr>
        <w:t>ADD ADDITIONAL INFORMATION}</w:t>
      </w:r>
    </w:p>
    <w:p w:rsidR="00B27690" w:rsidRPr="00656BF3" w:rsidRDefault="00B27690" w:rsidP="00656BF3">
      <w:pPr>
        <w:pStyle w:val="NoSpacing"/>
        <w:rPr>
          <w:rFonts w:cstheme="minorHAnsi"/>
        </w:rPr>
      </w:pPr>
    </w:p>
    <w:p w:rsidR="00B374A4" w:rsidRPr="00656BF3" w:rsidRDefault="00B374A4" w:rsidP="00656BF3">
      <w:pPr>
        <w:pStyle w:val="NoSpacing"/>
        <w:rPr>
          <w:rFonts w:cstheme="minorHAnsi"/>
          <w:b/>
        </w:rPr>
      </w:pPr>
      <w:r w:rsidRPr="00656BF3">
        <w:rPr>
          <w:rFonts w:cstheme="minorHAnsi"/>
          <w:b/>
        </w:rPr>
        <w:t>Summary</w:t>
      </w:r>
    </w:p>
    <w:p w:rsidR="00AB2F4A" w:rsidRPr="00656BF3" w:rsidRDefault="00AB2F4A" w:rsidP="00656BF3">
      <w:pPr>
        <w:pStyle w:val="NoSpacing"/>
        <w:rPr>
          <w:rFonts w:cstheme="minorHAnsi"/>
        </w:rPr>
      </w:pPr>
      <w:r w:rsidRPr="00656BF3">
        <w:rPr>
          <w:rFonts w:cstheme="minorHAnsi"/>
        </w:rPr>
        <w:t xml:space="preserve">The </w:t>
      </w:r>
      <w:r w:rsidR="00924501">
        <w:rPr>
          <w:rFonts w:cstheme="minorHAnsi"/>
          <w:i/>
        </w:rPr>
        <w:t>FMR</w:t>
      </w:r>
      <w:r w:rsidR="00924501" w:rsidRPr="00924501">
        <w:rPr>
          <w:rFonts w:cstheme="minorHAnsi"/>
          <w:i/>
        </w:rPr>
        <w:t>1</w:t>
      </w:r>
      <w:r w:rsidR="00924501">
        <w:rPr>
          <w:rFonts w:cstheme="minorHAnsi"/>
        </w:rPr>
        <w:t xml:space="preserve"> CGG Repeat Analysis test</w:t>
      </w:r>
      <w:r w:rsidR="00503AB6" w:rsidRPr="00656BF3">
        <w:rPr>
          <w:rFonts w:cstheme="minorHAnsi"/>
        </w:rPr>
        <w:t xml:space="preserve"> at</w:t>
      </w:r>
      <w:r w:rsidRPr="00656BF3">
        <w:rPr>
          <w:rFonts w:cstheme="minorHAnsi"/>
        </w:rPr>
        <w:t xml:space="preserve"> GeneD</w:t>
      </w:r>
      <w:r w:rsidR="00342070" w:rsidRPr="00656BF3">
        <w:rPr>
          <w:rFonts w:cstheme="minorHAnsi"/>
        </w:rPr>
        <w:t xml:space="preserve">x is a highly sensitive </w:t>
      </w:r>
      <w:r w:rsidRPr="00656BF3">
        <w:rPr>
          <w:rFonts w:cstheme="minorHAnsi"/>
        </w:rPr>
        <w:t>and cost-effective geneti</w:t>
      </w:r>
      <w:r w:rsidR="00342070" w:rsidRPr="00656BF3">
        <w:rPr>
          <w:rFonts w:cstheme="minorHAnsi"/>
        </w:rPr>
        <w:t>c test</w:t>
      </w:r>
      <w:r w:rsidRPr="00656BF3">
        <w:rPr>
          <w:rFonts w:cstheme="minorHAnsi"/>
        </w:rPr>
        <w:t xml:space="preserve">.  </w:t>
      </w:r>
      <w:r w:rsidR="00FB3BE6" w:rsidRPr="00656BF3">
        <w:rPr>
          <w:rFonts w:cstheme="minorHAnsi"/>
        </w:rPr>
        <w:t>I am requesting coverage for this medically necessary</w:t>
      </w:r>
      <w:r w:rsidR="00205DB4" w:rsidRPr="00656BF3">
        <w:rPr>
          <w:rFonts w:cstheme="minorHAnsi"/>
        </w:rPr>
        <w:t xml:space="preserve"> test</w:t>
      </w:r>
      <w:r w:rsidR="00FB3BE6" w:rsidRPr="00656BF3">
        <w:rPr>
          <w:rFonts w:cstheme="minorHAnsi"/>
        </w:rPr>
        <w:t xml:space="preserve"> </w:t>
      </w:r>
      <w:r w:rsidR="00E04C9D" w:rsidRPr="00656BF3">
        <w:rPr>
          <w:rFonts w:cstheme="minorHAnsi"/>
          <w:color w:val="000000"/>
        </w:rPr>
        <w:t xml:space="preserve">in order to </w:t>
      </w:r>
      <w:r w:rsidR="00FB3BE6" w:rsidRPr="00656BF3">
        <w:rPr>
          <w:rFonts w:cstheme="minorHAnsi"/>
          <w:color w:val="000000"/>
        </w:rPr>
        <w:t>establish</w:t>
      </w:r>
      <w:r w:rsidR="00E04C9D" w:rsidRPr="00656BF3">
        <w:rPr>
          <w:rFonts w:cstheme="minorHAnsi"/>
          <w:color w:val="000000"/>
        </w:rPr>
        <w:t xml:space="preserve"> appropriate medical management for this patient.</w:t>
      </w:r>
      <w:r w:rsidR="00E04C9D" w:rsidRPr="00656BF3">
        <w:rPr>
          <w:rFonts w:cstheme="minorHAnsi"/>
        </w:rPr>
        <w:t xml:space="preserve">  Without testing, treatment would be suboptimal, subjecting this patient to increased morbidity and potentially early mortality.  </w:t>
      </w:r>
    </w:p>
    <w:p w:rsidR="00205DB4" w:rsidRPr="00656BF3" w:rsidRDefault="00205DB4" w:rsidP="00656BF3">
      <w:pPr>
        <w:pStyle w:val="NoSpacing"/>
        <w:rPr>
          <w:rFonts w:cstheme="minorHAnsi"/>
        </w:rPr>
      </w:pPr>
    </w:p>
    <w:p w:rsidR="00AB2F4A" w:rsidRPr="00656BF3" w:rsidRDefault="00AB2F4A" w:rsidP="00656BF3">
      <w:pPr>
        <w:pStyle w:val="NoSpacing"/>
        <w:rPr>
          <w:rFonts w:cstheme="minorHAnsi"/>
        </w:rPr>
      </w:pPr>
      <w:r w:rsidRPr="00656BF3">
        <w:rPr>
          <w:rFonts w:cstheme="minorHAnsi"/>
        </w:rPr>
        <w:t xml:space="preserve">Thank you for your review and consideration.  If you have questions, or if I can be of further assistance, please do not hesitate to call me at </w:t>
      </w:r>
      <w:r w:rsidRPr="00656BF3">
        <w:rPr>
          <w:rFonts w:cstheme="minorHAnsi"/>
          <w:color w:val="FF0000"/>
        </w:rPr>
        <w:t>(XXX) XXX-XXXX</w:t>
      </w:r>
      <w:r w:rsidRPr="00656BF3">
        <w:rPr>
          <w:rFonts w:cstheme="minorHAnsi"/>
        </w:rPr>
        <w:t>.</w:t>
      </w:r>
    </w:p>
    <w:p w:rsidR="00205DB4" w:rsidRPr="00656BF3" w:rsidRDefault="00205DB4" w:rsidP="00656BF3">
      <w:pPr>
        <w:pStyle w:val="NoSpacing"/>
        <w:rPr>
          <w:rFonts w:cstheme="minorHAnsi"/>
        </w:rPr>
      </w:pPr>
    </w:p>
    <w:p w:rsidR="00205DB4" w:rsidRPr="00656BF3" w:rsidRDefault="00205DB4" w:rsidP="00656BF3">
      <w:pPr>
        <w:pStyle w:val="NoSpacing"/>
        <w:rPr>
          <w:rFonts w:cstheme="minorHAnsi"/>
        </w:rPr>
      </w:pPr>
      <w:r w:rsidRPr="00656BF3">
        <w:rPr>
          <w:rFonts w:cstheme="minorHAnsi"/>
        </w:rPr>
        <w:t>Sincerely,</w:t>
      </w:r>
    </w:p>
    <w:p w:rsidR="00205DB4" w:rsidRPr="00656BF3" w:rsidRDefault="00205DB4" w:rsidP="00656BF3">
      <w:pPr>
        <w:pStyle w:val="NoSpacing"/>
        <w:rPr>
          <w:rFonts w:cstheme="minorHAnsi"/>
        </w:rPr>
      </w:pPr>
    </w:p>
    <w:p w:rsidR="00205DB4" w:rsidRPr="00656BF3" w:rsidRDefault="00342070" w:rsidP="00656BF3">
      <w:pPr>
        <w:pStyle w:val="NoSpacing"/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>Signature</w:t>
      </w:r>
    </w:p>
    <w:p w:rsidR="00205DB4" w:rsidRPr="00656BF3" w:rsidRDefault="00205DB4" w:rsidP="00656BF3">
      <w:pPr>
        <w:pStyle w:val="NoSpacing"/>
        <w:rPr>
          <w:rFonts w:cstheme="minorHAnsi"/>
          <w:color w:val="FF0000"/>
        </w:rPr>
      </w:pPr>
      <w:r w:rsidRPr="00656BF3">
        <w:rPr>
          <w:rFonts w:cstheme="minorHAnsi"/>
          <w:color w:val="FF0000"/>
        </w:rPr>
        <w:t xml:space="preserve">Ordering Provider’s Name </w:t>
      </w:r>
    </w:p>
    <w:p w:rsidR="00C247D1" w:rsidRPr="00656BF3" w:rsidRDefault="00C247D1" w:rsidP="00656BF3">
      <w:pPr>
        <w:pStyle w:val="NoSpacing"/>
        <w:rPr>
          <w:rFonts w:cstheme="minorHAnsi"/>
          <w:color w:val="FF0000"/>
        </w:rPr>
      </w:pPr>
    </w:p>
    <w:p w:rsidR="00C247D1" w:rsidRDefault="00C247D1" w:rsidP="00AB2F4A">
      <w:pPr>
        <w:pStyle w:val="NoSpacing"/>
        <w:rPr>
          <w:color w:val="FF0000"/>
        </w:rPr>
      </w:pP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lastRenderedPageBreak/>
        <w:t>McConkie-Rosell et al. (2005) Genetic counseling for fragile x syndrome: updated recommendations of the national society of genetic counselors. Journal Of Genetic Counseling 14 (4):249-70 (PMID: 16047089)</w:t>
      </w: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t>Pirozzi et al. (2011) The FRAXopathies: definition, overview, and update. American Journal of Medical Genetics. Part A 155A (8):1803-16 (PMID: 21739597)</w:t>
      </w: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t>Monaghan et al. (2013) ACMG Standards and Guidelines for fragile X testing: a revision to the disease-specific supplements to the Standards and Guidelines for Clinical Genetics Laboratories of the American College of Medical Genetics and Genomics. Genetics In Medicine : Official Journal Of The American College Of Medical Genetics 15 (7):575-86 (PMID: 23765048)</w:t>
      </w: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t>Schaefer et al. (2013) Professional Practice and Guidelines Committee. Clinical genetics evaluation in identifying the etiology of autism spectrum disorders: 2013 guideline revisions. Genetics In Medicine: Official Journal Of The American College Of Medical Genetics 15 (5):399-407 (PMID: 23519317)</w:t>
      </w: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lastRenderedPageBreak/>
        <w:t>Moeschler et al. (2014) Comprehensive evaluation of the child with intellectual disability or global developmental delays. Pediatrics 134 (3):e903-18 (PMID: 25157020)</w:t>
      </w: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t xml:space="preserve">Michelson et al. (2011) Evidence report: Genetic and metabolic testing on children with global developmental delay: report of the Quality Standards Subcommittee of the American Academy of Neurology and the Practice Committee of the Child Neurology Society. </w:t>
      </w:r>
      <w:r w:rsidRPr="00924501">
        <w:rPr>
          <w:i/>
        </w:rPr>
        <w:t xml:space="preserve">Neurology </w:t>
      </w:r>
      <w:r w:rsidRPr="00924501">
        <w:t xml:space="preserve">77 (17):1629-35 (PMID: 21956720) </w:t>
      </w: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t>Hersh et al. (2011) Health supervision for children with fragile X syndrome. Pediatrics 127 (5):994-1006 (PMID: 21518720)</w:t>
      </w:r>
    </w:p>
    <w:p w:rsidR="00924501" w:rsidRPr="00924501" w:rsidRDefault="00924501" w:rsidP="00924501">
      <w:pPr>
        <w:pStyle w:val="NoSpacing"/>
        <w:numPr>
          <w:ilvl w:val="0"/>
          <w:numId w:val="10"/>
        </w:numPr>
      </w:pPr>
      <w:r w:rsidRPr="00924501">
        <w:t>Saul RA, Tarleton JC. FMR1-Related Disorders. 1998 Jun 16 [Updated 2012 Apr 26]. In: Pagon RA, Adam MP, Ardinger HH, et al., editors. GeneReviews® [Internet]. Seattle (WA): University of Washington, Seattle; 1993-2017. Available from: https://www.ncbi.nlm.nih.gov/books/NBK1384/</w:t>
      </w:r>
    </w:p>
    <w:p w:rsidR="00C247D1" w:rsidRPr="0071491F" w:rsidRDefault="00C247D1" w:rsidP="00AB2F4A">
      <w:pPr>
        <w:pStyle w:val="NoSpacing"/>
      </w:pPr>
    </w:p>
    <w:sectPr w:rsidR="00C247D1" w:rsidRPr="0071491F" w:rsidSect="00AB2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9A9"/>
    <w:multiLevelType w:val="hybridMultilevel"/>
    <w:tmpl w:val="251C19B4"/>
    <w:lvl w:ilvl="0" w:tplc="2E1686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6B55"/>
    <w:multiLevelType w:val="hybridMultilevel"/>
    <w:tmpl w:val="D2E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27BFC"/>
    <w:multiLevelType w:val="hybridMultilevel"/>
    <w:tmpl w:val="6E9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9C"/>
    <w:multiLevelType w:val="hybridMultilevel"/>
    <w:tmpl w:val="F21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533"/>
    <w:multiLevelType w:val="hybridMultilevel"/>
    <w:tmpl w:val="AFB42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EF3C70"/>
    <w:multiLevelType w:val="hybridMultilevel"/>
    <w:tmpl w:val="B90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27B"/>
    <w:multiLevelType w:val="hybridMultilevel"/>
    <w:tmpl w:val="71BA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1373E"/>
    <w:multiLevelType w:val="hybridMultilevel"/>
    <w:tmpl w:val="2796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E084A"/>
    <w:multiLevelType w:val="hybridMultilevel"/>
    <w:tmpl w:val="042A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07767"/>
    <w:multiLevelType w:val="hybridMultilevel"/>
    <w:tmpl w:val="0AD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6"/>
    <w:rsid w:val="00044C72"/>
    <w:rsid w:val="000B50A3"/>
    <w:rsid w:val="000D05E6"/>
    <w:rsid w:val="000E13FB"/>
    <w:rsid w:val="001109B6"/>
    <w:rsid w:val="00150F55"/>
    <w:rsid w:val="00205DB4"/>
    <w:rsid w:val="002414B7"/>
    <w:rsid w:val="00253146"/>
    <w:rsid w:val="002A7478"/>
    <w:rsid w:val="002D0B92"/>
    <w:rsid w:val="00301F9D"/>
    <w:rsid w:val="00342070"/>
    <w:rsid w:val="003640C1"/>
    <w:rsid w:val="003D0EA6"/>
    <w:rsid w:val="003E2CA8"/>
    <w:rsid w:val="00433DFB"/>
    <w:rsid w:val="00465837"/>
    <w:rsid w:val="004A3548"/>
    <w:rsid w:val="00503AB6"/>
    <w:rsid w:val="00535623"/>
    <w:rsid w:val="00543EEA"/>
    <w:rsid w:val="005B76FB"/>
    <w:rsid w:val="006337EC"/>
    <w:rsid w:val="0064562A"/>
    <w:rsid w:val="00652804"/>
    <w:rsid w:val="00653661"/>
    <w:rsid w:val="00656BF3"/>
    <w:rsid w:val="006D15C9"/>
    <w:rsid w:val="0071491F"/>
    <w:rsid w:val="0073022E"/>
    <w:rsid w:val="00776731"/>
    <w:rsid w:val="00855940"/>
    <w:rsid w:val="008569AB"/>
    <w:rsid w:val="008706C4"/>
    <w:rsid w:val="00887B41"/>
    <w:rsid w:val="008E7C39"/>
    <w:rsid w:val="00900219"/>
    <w:rsid w:val="00921AF4"/>
    <w:rsid w:val="00924501"/>
    <w:rsid w:val="00997698"/>
    <w:rsid w:val="009B3933"/>
    <w:rsid w:val="00AB2F4A"/>
    <w:rsid w:val="00AD589F"/>
    <w:rsid w:val="00B27690"/>
    <w:rsid w:val="00B374A4"/>
    <w:rsid w:val="00B42759"/>
    <w:rsid w:val="00B82599"/>
    <w:rsid w:val="00BE244D"/>
    <w:rsid w:val="00C247D1"/>
    <w:rsid w:val="00D134E4"/>
    <w:rsid w:val="00D17422"/>
    <w:rsid w:val="00D66DD8"/>
    <w:rsid w:val="00DB690F"/>
    <w:rsid w:val="00DE6040"/>
    <w:rsid w:val="00E04C9D"/>
    <w:rsid w:val="00ED14F6"/>
    <w:rsid w:val="00F1597A"/>
    <w:rsid w:val="00F339A7"/>
    <w:rsid w:val="00F74480"/>
    <w:rsid w:val="00F9401A"/>
    <w:rsid w:val="00FB3BE6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95E7-3817-4318-B43D-24CE7CC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E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BioReference Laboratories Inc.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Raymond Jubela</cp:lastModifiedBy>
  <cp:revision>2</cp:revision>
  <dcterms:created xsi:type="dcterms:W3CDTF">2021-12-10T15:00:00Z</dcterms:created>
  <dcterms:modified xsi:type="dcterms:W3CDTF">2021-12-10T15:00:00Z</dcterms:modified>
</cp:coreProperties>
</file>