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5E6" w:rsidRPr="00205DB4" w:rsidRDefault="003D0EA6" w:rsidP="00205DB4">
      <w:pPr>
        <w:pStyle w:val="NoSpacing"/>
        <w:jc w:val="center"/>
        <w:rPr>
          <w:b/>
        </w:rPr>
      </w:pPr>
      <w:bookmarkStart w:id="0" w:name="_GoBack"/>
      <w:bookmarkEnd w:id="0"/>
      <w:r w:rsidRPr="00205DB4">
        <w:rPr>
          <w:b/>
        </w:rPr>
        <w:t>Letter of Medical Necessi</w:t>
      </w:r>
      <w:r w:rsidR="00D26A0D">
        <w:rPr>
          <w:b/>
        </w:rPr>
        <w:t xml:space="preserve">ty for the </w:t>
      </w:r>
      <w:proofErr w:type="spellStart"/>
      <w:r w:rsidR="008F5DB6">
        <w:rPr>
          <w:b/>
        </w:rPr>
        <w:t>EpiXpanded</w:t>
      </w:r>
      <w:proofErr w:type="spellEnd"/>
      <w:r w:rsidR="00D26A0D">
        <w:rPr>
          <w:b/>
        </w:rPr>
        <w:t xml:space="preserve"> Panel</w:t>
      </w:r>
    </w:p>
    <w:p w:rsidR="00AB2F4A" w:rsidRPr="00AB2F4A" w:rsidRDefault="00AB2F4A" w:rsidP="00AB2F4A">
      <w:pPr>
        <w:pStyle w:val="NoSpacing"/>
        <w:rPr>
          <w:color w:val="FF0000"/>
        </w:rPr>
      </w:pPr>
    </w:p>
    <w:p w:rsidR="00AB2F4A" w:rsidRDefault="00AB2F4A" w:rsidP="00AB2F4A">
      <w:pPr>
        <w:pStyle w:val="NoSpacing"/>
        <w:rPr>
          <w:color w:val="FF0000"/>
        </w:rPr>
      </w:pPr>
    </w:p>
    <w:p w:rsidR="00205DB4" w:rsidRPr="00AB2F4A" w:rsidRDefault="00205DB4" w:rsidP="00AB2F4A">
      <w:pPr>
        <w:pStyle w:val="NoSpacing"/>
        <w:rPr>
          <w:color w:val="FF0000"/>
        </w:rPr>
        <w:sectPr w:rsidR="00205DB4" w:rsidRPr="00AB2F4A">
          <w:pgSz w:w="12240" w:h="15840"/>
          <w:pgMar w:top="1440" w:right="1440" w:bottom="1440" w:left="1440" w:header="720" w:footer="720" w:gutter="0"/>
          <w:cols w:space="720"/>
          <w:docGrid w:linePitch="360"/>
        </w:sectPr>
      </w:pPr>
    </w:p>
    <w:p w:rsidR="00253146" w:rsidRPr="00253146" w:rsidRDefault="00253146" w:rsidP="00AB2F4A">
      <w:pPr>
        <w:pStyle w:val="NoSpacing"/>
        <w:rPr>
          <w:b/>
          <w:u w:val="single"/>
        </w:rPr>
      </w:pPr>
      <w:r w:rsidRPr="00253146">
        <w:rPr>
          <w:b/>
          <w:u w:val="single"/>
        </w:rPr>
        <w:t>Patient Information</w:t>
      </w:r>
    </w:p>
    <w:p w:rsidR="003D0EA6" w:rsidRPr="00253146" w:rsidRDefault="003D0EA6" w:rsidP="00AB2F4A">
      <w:pPr>
        <w:pStyle w:val="NoSpacing"/>
        <w:rPr>
          <w:b/>
          <w:color w:val="FF0000"/>
        </w:rPr>
      </w:pPr>
      <w:r w:rsidRPr="00253146">
        <w:rPr>
          <w:b/>
          <w:color w:val="FF0000"/>
        </w:rPr>
        <w:t>Date:</w:t>
      </w:r>
    </w:p>
    <w:p w:rsidR="003D0EA6" w:rsidRPr="00253146" w:rsidRDefault="003D0EA6" w:rsidP="00AB2F4A">
      <w:pPr>
        <w:pStyle w:val="NoSpacing"/>
        <w:rPr>
          <w:b/>
          <w:color w:val="FF0000"/>
        </w:rPr>
      </w:pPr>
      <w:r w:rsidRPr="00253146">
        <w:rPr>
          <w:b/>
          <w:color w:val="FF0000"/>
        </w:rPr>
        <w:t>Patient Name:</w:t>
      </w:r>
    </w:p>
    <w:p w:rsidR="003D0EA6" w:rsidRPr="00253146" w:rsidRDefault="003D0EA6" w:rsidP="00AB2F4A">
      <w:pPr>
        <w:pStyle w:val="NoSpacing"/>
        <w:rPr>
          <w:b/>
          <w:color w:val="FF0000"/>
        </w:rPr>
      </w:pPr>
      <w:r w:rsidRPr="00253146">
        <w:rPr>
          <w:b/>
          <w:color w:val="FF0000"/>
        </w:rPr>
        <w:t>Patient DOB:</w:t>
      </w:r>
    </w:p>
    <w:p w:rsidR="003D0EA6" w:rsidRPr="00253146" w:rsidRDefault="003D0EA6" w:rsidP="00AB2F4A">
      <w:pPr>
        <w:pStyle w:val="NoSpacing"/>
        <w:rPr>
          <w:b/>
          <w:color w:val="FF0000"/>
        </w:rPr>
      </w:pPr>
      <w:r w:rsidRPr="00253146">
        <w:rPr>
          <w:b/>
          <w:color w:val="FF0000"/>
        </w:rPr>
        <w:t>Insurance Company</w:t>
      </w:r>
      <w:r w:rsidR="00B82599" w:rsidRPr="00253146">
        <w:rPr>
          <w:b/>
          <w:color w:val="FF0000"/>
        </w:rPr>
        <w:t xml:space="preserve"> Name, Address, City, State</w:t>
      </w:r>
      <w:r w:rsidRPr="00253146">
        <w:rPr>
          <w:b/>
          <w:color w:val="FF0000"/>
        </w:rPr>
        <w:t>:</w:t>
      </w:r>
    </w:p>
    <w:p w:rsidR="003D0EA6" w:rsidRPr="00253146" w:rsidRDefault="003D0EA6" w:rsidP="00AB2F4A">
      <w:pPr>
        <w:pStyle w:val="NoSpacing"/>
        <w:rPr>
          <w:b/>
          <w:color w:val="FF0000"/>
        </w:rPr>
      </w:pPr>
      <w:r w:rsidRPr="00253146">
        <w:rPr>
          <w:b/>
          <w:color w:val="FF0000"/>
        </w:rPr>
        <w:t>Policy Number</w:t>
      </w:r>
      <w:r w:rsidR="00253146">
        <w:rPr>
          <w:b/>
          <w:color w:val="FF0000"/>
        </w:rPr>
        <w:t>:</w:t>
      </w:r>
    </w:p>
    <w:p w:rsidR="003D0EA6" w:rsidRPr="00253146" w:rsidRDefault="003D0EA6" w:rsidP="00AB2F4A">
      <w:pPr>
        <w:pStyle w:val="NoSpacing"/>
        <w:rPr>
          <w:b/>
          <w:color w:val="FF0000"/>
        </w:rPr>
      </w:pPr>
      <w:r w:rsidRPr="00253146">
        <w:rPr>
          <w:b/>
          <w:color w:val="FF0000"/>
        </w:rPr>
        <w:t>Group Number</w:t>
      </w:r>
      <w:r w:rsidR="00253146">
        <w:rPr>
          <w:b/>
          <w:color w:val="FF0000"/>
        </w:rPr>
        <w:t>:</w:t>
      </w:r>
    </w:p>
    <w:p w:rsidR="00AB2F4A" w:rsidRPr="00AB2F4A" w:rsidRDefault="00B82599" w:rsidP="00AB2F4A">
      <w:pPr>
        <w:pStyle w:val="NoSpacing"/>
        <w:rPr>
          <w:color w:val="FF0000"/>
        </w:rPr>
      </w:pPr>
      <w:r w:rsidRPr="00253146">
        <w:rPr>
          <w:b/>
          <w:color w:val="FF0000"/>
        </w:rPr>
        <w:t>ICD10 Codes</w:t>
      </w:r>
      <w:r w:rsidR="00253146">
        <w:rPr>
          <w:b/>
          <w:color w:val="FF0000"/>
        </w:rPr>
        <w:t>:</w:t>
      </w:r>
      <w:r w:rsidR="00921AF4" w:rsidRPr="00AB2F4A">
        <w:rPr>
          <w:color w:val="FF0000"/>
        </w:rPr>
        <w:t xml:space="preserve"> </w:t>
      </w:r>
    </w:p>
    <w:p w:rsidR="00205DB4" w:rsidRDefault="00205DB4" w:rsidP="00AB2F4A">
      <w:pPr>
        <w:pStyle w:val="NoSpacing"/>
      </w:pPr>
    </w:p>
    <w:p w:rsidR="00205DB4" w:rsidRDefault="00205DB4" w:rsidP="00AB2F4A">
      <w:pPr>
        <w:pStyle w:val="NoSpacing"/>
      </w:pPr>
    </w:p>
    <w:p w:rsidR="00342070" w:rsidRDefault="00342070" w:rsidP="00AB2F4A">
      <w:pPr>
        <w:pStyle w:val="NoSpacing"/>
      </w:pPr>
    </w:p>
    <w:p w:rsidR="00205DB4" w:rsidRPr="00253146" w:rsidRDefault="00253146" w:rsidP="00AB2F4A">
      <w:pPr>
        <w:pStyle w:val="NoSpacing"/>
        <w:rPr>
          <w:b/>
          <w:u w:val="single"/>
        </w:rPr>
      </w:pPr>
      <w:r w:rsidRPr="00253146">
        <w:rPr>
          <w:b/>
          <w:u w:val="single"/>
        </w:rPr>
        <w:t>Test Information</w:t>
      </w:r>
    </w:p>
    <w:p w:rsidR="002D0B92" w:rsidRPr="00253146" w:rsidRDefault="002D0B92" w:rsidP="00AB2F4A">
      <w:pPr>
        <w:pStyle w:val="NoSpacing"/>
      </w:pPr>
      <w:r w:rsidRPr="00253146">
        <w:rPr>
          <w:b/>
        </w:rPr>
        <w:t>Test Name</w:t>
      </w:r>
      <w:r w:rsidR="00FB3BE6" w:rsidRPr="00253146">
        <w:rPr>
          <w:b/>
        </w:rPr>
        <w:t>:</w:t>
      </w:r>
      <w:r w:rsidR="00BE244D" w:rsidRPr="00253146">
        <w:t xml:space="preserve">  </w:t>
      </w:r>
      <w:proofErr w:type="spellStart"/>
      <w:r w:rsidR="008F5DB6">
        <w:t>EpiXpanded</w:t>
      </w:r>
      <w:proofErr w:type="spellEnd"/>
      <w:r w:rsidR="00D26A0D" w:rsidRPr="00D26A0D">
        <w:t xml:space="preserve"> Panel</w:t>
      </w:r>
    </w:p>
    <w:p w:rsidR="00F9401A" w:rsidRDefault="002D0B92" w:rsidP="00AB2F4A">
      <w:pPr>
        <w:pStyle w:val="NoSpacing"/>
      </w:pPr>
      <w:r w:rsidRPr="0064562A">
        <w:rPr>
          <w:b/>
        </w:rPr>
        <w:t>CPT Codes</w:t>
      </w:r>
      <w:r w:rsidR="00FB3BE6" w:rsidRPr="0064562A">
        <w:rPr>
          <w:b/>
        </w:rPr>
        <w:t>:</w:t>
      </w:r>
      <w:r w:rsidR="0064562A" w:rsidRPr="0064562A">
        <w:rPr>
          <w:b/>
        </w:rPr>
        <w:t xml:space="preserve">  </w:t>
      </w:r>
      <w:r w:rsidR="008F5DB6" w:rsidRPr="008F5DB6">
        <w:t>81302x1, 81404x4, 81405x2, 81406x2, 81407x1, 81408x2</w:t>
      </w:r>
    </w:p>
    <w:p w:rsidR="008706C4" w:rsidRPr="00253146" w:rsidRDefault="00FB3BE6" w:rsidP="00AB2F4A">
      <w:pPr>
        <w:pStyle w:val="NoSpacing"/>
        <w:rPr>
          <w:b/>
        </w:rPr>
      </w:pPr>
      <w:r w:rsidRPr="00253146">
        <w:rPr>
          <w:b/>
        </w:rPr>
        <w:t xml:space="preserve">Laboratory: </w:t>
      </w:r>
    </w:p>
    <w:p w:rsidR="00253146" w:rsidRDefault="008706C4" w:rsidP="00AB2F4A">
      <w:pPr>
        <w:pStyle w:val="NoSpacing"/>
      </w:pPr>
      <w:r>
        <w:t>GeneDx</w:t>
      </w:r>
      <w:r w:rsidR="00D17422">
        <w:t xml:space="preserve">, Inc. </w:t>
      </w:r>
      <w:r w:rsidR="00205DB4">
        <w:t xml:space="preserve"> </w:t>
      </w:r>
    </w:p>
    <w:p w:rsidR="00205DB4" w:rsidRPr="008706C4" w:rsidRDefault="00FB3BE6" w:rsidP="00AB2F4A">
      <w:pPr>
        <w:pStyle w:val="NoSpacing"/>
      </w:pPr>
      <w:r w:rsidRPr="00AB2F4A">
        <w:t>(NPI#1487632998 / TAXID#205446298 / CLIA#21D0969951)</w:t>
      </w:r>
    </w:p>
    <w:p w:rsidR="00AB2F4A" w:rsidRPr="00205DB4" w:rsidRDefault="00AB2F4A" w:rsidP="00AB2F4A">
      <w:pPr>
        <w:pStyle w:val="NoSpacing"/>
        <w:rPr>
          <w:color w:val="FF0000"/>
        </w:rPr>
      </w:pPr>
      <w:r w:rsidRPr="00AB2F4A">
        <w:t>207 Perry Parkway</w:t>
      </w:r>
    </w:p>
    <w:p w:rsidR="00AB2F4A" w:rsidRPr="00AB2F4A" w:rsidRDefault="00AB2F4A" w:rsidP="00AB2F4A">
      <w:pPr>
        <w:pStyle w:val="NoSpacing"/>
      </w:pPr>
      <w:r w:rsidRPr="00AB2F4A">
        <w:t>Gaithersburg, MD 20877</w:t>
      </w:r>
    </w:p>
    <w:p w:rsidR="00AB2F4A" w:rsidRPr="0064562A" w:rsidRDefault="00AB2F4A" w:rsidP="00AB2F4A">
      <w:pPr>
        <w:pStyle w:val="NoSpacing"/>
      </w:pPr>
      <w:r w:rsidRPr="0064562A">
        <w:t>Telephone:</w:t>
      </w:r>
      <w:r w:rsidR="0064562A" w:rsidRPr="0064562A">
        <w:t xml:space="preserve"> (301) 519-2100</w:t>
      </w:r>
    </w:p>
    <w:p w:rsidR="002D0B92" w:rsidRPr="0064562A" w:rsidRDefault="00AB2F4A" w:rsidP="00AB2F4A">
      <w:pPr>
        <w:pStyle w:val="NoSpacing"/>
      </w:pPr>
      <w:r w:rsidRPr="0064562A">
        <w:t xml:space="preserve">Fax: </w:t>
      </w:r>
      <w:r w:rsidR="0064562A" w:rsidRPr="0064562A">
        <w:t>(201) 421-2010</w:t>
      </w:r>
    </w:p>
    <w:p w:rsidR="00AB2F4A" w:rsidRPr="00AB2F4A" w:rsidRDefault="00AB2F4A" w:rsidP="00AB2F4A">
      <w:pPr>
        <w:pStyle w:val="NoSpacing"/>
        <w:sectPr w:rsidR="00AB2F4A" w:rsidRPr="00AB2F4A" w:rsidSect="00AB2F4A">
          <w:type w:val="continuous"/>
          <w:pgSz w:w="12240" w:h="15840"/>
          <w:pgMar w:top="1440" w:right="1440" w:bottom="1440" w:left="1440" w:header="720" w:footer="720" w:gutter="0"/>
          <w:cols w:num="2" w:space="720"/>
          <w:docGrid w:linePitch="360"/>
        </w:sectPr>
      </w:pPr>
    </w:p>
    <w:p w:rsidR="003D0EA6" w:rsidRPr="00AB2F4A" w:rsidRDefault="003D0EA6" w:rsidP="00AB2F4A">
      <w:pPr>
        <w:pStyle w:val="NoSpacing"/>
      </w:pPr>
    </w:p>
    <w:p w:rsidR="00205DB4" w:rsidRDefault="00205DB4" w:rsidP="00AB2F4A">
      <w:pPr>
        <w:pStyle w:val="NoSpacing"/>
      </w:pPr>
    </w:p>
    <w:p w:rsidR="00F74480" w:rsidRDefault="00F74480" w:rsidP="00AB2F4A">
      <w:pPr>
        <w:pStyle w:val="NoSpacing"/>
      </w:pPr>
      <w:r w:rsidRPr="00AB2F4A">
        <w:t xml:space="preserve">This letter is in regards to my patient, </w:t>
      </w:r>
      <w:r w:rsidR="002D0B92" w:rsidRPr="00AB2F4A">
        <w:rPr>
          <w:color w:val="FF0000"/>
        </w:rPr>
        <w:t>[</w:t>
      </w:r>
      <w:r w:rsidRPr="00AB2F4A">
        <w:rPr>
          <w:color w:val="FF0000"/>
        </w:rPr>
        <w:t>FIRST NAME LAST NAME</w:t>
      </w:r>
      <w:r w:rsidR="002D0B92" w:rsidRPr="00AB2F4A">
        <w:rPr>
          <w:color w:val="FF0000"/>
        </w:rPr>
        <w:t>]</w:t>
      </w:r>
      <w:r w:rsidR="0064562A">
        <w:t>, to re</w:t>
      </w:r>
      <w:r w:rsidR="00DB3B6E">
        <w:t>quest full coverage for the</w:t>
      </w:r>
      <w:r w:rsidR="00D26A0D" w:rsidRPr="00D26A0D">
        <w:t xml:space="preserve"> </w:t>
      </w:r>
      <w:proofErr w:type="spellStart"/>
      <w:r w:rsidR="008F5DB6">
        <w:t>EpiXpanded</w:t>
      </w:r>
      <w:proofErr w:type="spellEnd"/>
      <w:r w:rsidR="008F5DB6">
        <w:t xml:space="preserve"> </w:t>
      </w:r>
      <w:r w:rsidR="00D26A0D" w:rsidRPr="00D26A0D">
        <w:t>Panel</w:t>
      </w:r>
      <w:r w:rsidR="00D26A0D">
        <w:t xml:space="preserve"> </w:t>
      </w:r>
      <w:r w:rsidR="00F9401A">
        <w:t>test</w:t>
      </w:r>
      <w:r w:rsidR="004978D4">
        <w:t xml:space="preserve"> </w:t>
      </w:r>
      <w:r w:rsidRPr="00AB2F4A">
        <w:t>to be perfo</w:t>
      </w:r>
      <w:r w:rsidR="008706C4">
        <w:t>r</w:t>
      </w:r>
      <w:r w:rsidRPr="00AB2F4A">
        <w:t>med by GeneDx</w:t>
      </w:r>
      <w:r w:rsidR="002D0B92" w:rsidRPr="00AB2F4A">
        <w:t xml:space="preserve">.  </w:t>
      </w:r>
      <w:r w:rsidRPr="00AB2F4A">
        <w:t xml:space="preserve">It is my professional determination that testing is medically necessary and will have a direct impact on this patient’s treatment and management.   </w:t>
      </w:r>
    </w:p>
    <w:p w:rsidR="006337EC" w:rsidRDefault="006337EC" w:rsidP="00AB2F4A">
      <w:pPr>
        <w:pStyle w:val="NoSpacing"/>
      </w:pPr>
    </w:p>
    <w:p w:rsidR="00B374A4" w:rsidRPr="00B374A4" w:rsidRDefault="00B374A4" w:rsidP="00AB2F4A">
      <w:pPr>
        <w:pStyle w:val="NoSpacing"/>
        <w:rPr>
          <w:b/>
        </w:rPr>
      </w:pPr>
      <w:r w:rsidRPr="00B374A4">
        <w:rPr>
          <w:b/>
        </w:rPr>
        <w:t xml:space="preserve">Patient </w:t>
      </w:r>
      <w:r>
        <w:rPr>
          <w:b/>
        </w:rPr>
        <w:t>Clinical and Family History</w:t>
      </w:r>
    </w:p>
    <w:p w:rsidR="006337EC" w:rsidRDefault="006337EC" w:rsidP="006337EC">
      <w:pPr>
        <w:pStyle w:val="NoSpacing"/>
      </w:pPr>
      <w:r>
        <w:t>This testing is requested due to this</w:t>
      </w:r>
      <w:r w:rsidRPr="00AB2F4A">
        <w:t xml:space="preserve"> patient’s person</w:t>
      </w:r>
      <w:r w:rsidR="00855940">
        <w:t>al medical history, which includes the following clinical findings</w:t>
      </w:r>
      <w:r w:rsidRPr="00AB2F4A">
        <w:t xml:space="preserve">:  </w:t>
      </w:r>
    </w:p>
    <w:p w:rsidR="006337EC" w:rsidRPr="00AB2F4A" w:rsidRDefault="006337EC" w:rsidP="006337EC">
      <w:pPr>
        <w:pStyle w:val="NoSpacing"/>
      </w:pPr>
    </w:p>
    <w:p w:rsidR="006337EC" w:rsidRPr="00AB2F4A" w:rsidRDefault="006337EC" w:rsidP="006337EC">
      <w:pPr>
        <w:pStyle w:val="NoSpacing"/>
        <w:numPr>
          <w:ilvl w:val="0"/>
          <w:numId w:val="6"/>
        </w:numPr>
        <w:rPr>
          <w:color w:val="FF0000"/>
        </w:rPr>
      </w:pPr>
      <w:r>
        <w:rPr>
          <w:color w:val="FF0000"/>
        </w:rPr>
        <w:t xml:space="preserve">Add Phenotype </w:t>
      </w:r>
    </w:p>
    <w:p w:rsidR="006337EC" w:rsidRPr="00AB2F4A" w:rsidRDefault="006337EC" w:rsidP="006337EC">
      <w:pPr>
        <w:pStyle w:val="NoSpacing"/>
        <w:numPr>
          <w:ilvl w:val="0"/>
          <w:numId w:val="6"/>
        </w:numPr>
        <w:rPr>
          <w:color w:val="FF0000"/>
        </w:rPr>
      </w:pPr>
      <w:r>
        <w:rPr>
          <w:color w:val="FF0000"/>
        </w:rPr>
        <w:t xml:space="preserve">Add Phenotype </w:t>
      </w:r>
    </w:p>
    <w:p w:rsidR="006337EC" w:rsidRDefault="006337EC" w:rsidP="00AB2F4A">
      <w:pPr>
        <w:pStyle w:val="NoSpacing"/>
        <w:numPr>
          <w:ilvl w:val="0"/>
          <w:numId w:val="6"/>
        </w:numPr>
        <w:rPr>
          <w:color w:val="FF0000"/>
        </w:rPr>
      </w:pPr>
      <w:r>
        <w:rPr>
          <w:color w:val="FF0000"/>
        </w:rPr>
        <w:t>Add Phenotype</w:t>
      </w:r>
    </w:p>
    <w:p w:rsidR="00855940" w:rsidRDefault="00855940" w:rsidP="00855940">
      <w:pPr>
        <w:pStyle w:val="NoSpacing"/>
        <w:rPr>
          <w:color w:val="FF0000"/>
        </w:rPr>
      </w:pPr>
    </w:p>
    <w:p w:rsidR="00855940" w:rsidRDefault="00855940" w:rsidP="00855940">
      <w:pPr>
        <w:pStyle w:val="NoSpacing"/>
      </w:pPr>
      <w:r>
        <w:t xml:space="preserve">The patient’s family history is </w:t>
      </w:r>
      <w:r w:rsidRPr="00855940">
        <w:rPr>
          <w:color w:val="FF0000"/>
        </w:rPr>
        <w:t>negative</w:t>
      </w:r>
      <w:r>
        <w:rPr>
          <w:color w:val="FF0000"/>
        </w:rPr>
        <w:t xml:space="preserve"> for related conditions</w:t>
      </w:r>
      <w:r w:rsidRPr="00855940">
        <w:rPr>
          <w:color w:val="FF0000"/>
        </w:rPr>
        <w:t xml:space="preserve"> / unknown / remarkable for the following </w:t>
      </w:r>
      <w:r>
        <w:rPr>
          <w:color w:val="FF0000"/>
        </w:rPr>
        <w:t xml:space="preserve">related clinical features: </w:t>
      </w:r>
    </w:p>
    <w:p w:rsidR="00ED14F6" w:rsidRDefault="00ED14F6" w:rsidP="00855940">
      <w:pPr>
        <w:pStyle w:val="NoSpacing"/>
      </w:pPr>
    </w:p>
    <w:p w:rsidR="00ED14F6" w:rsidRDefault="00ED14F6" w:rsidP="00855940">
      <w:pPr>
        <w:pStyle w:val="NoSpacing"/>
        <w:rPr>
          <w:color w:val="FF0000"/>
        </w:rPr>
      </w:pPr>
      <w:r>
        <w:rPr>
          <w:color w:val="FF0000"/>
        </w:rPr>
        <w:t>The patient has previously had the following uninformative genetic and other testing:</w:t>
      </w:r>
    </w:p>
    <w:p w:rsidR="00ED14F6" w:rsidRDefault="00ED14F6" w:rsidP="00301F9D">
      <w:pPr>
        <w:pStyle w:val="NoSpacing"/>
        <w:numPr>
          <w:ilvl w:val="0"/>
          <w:numId w:val="9"/>
        </w:numPr>
        <w:rPr>
          <w:color w:val="FF0000"/>
        </w:rPr>
      </w:pPr>
      <w:r>
        <w:rPr>
          <w:color w:val="FF0000"/>
        </w:rPr>
        <w:t>Add test</w:t>
      </w:r>
    </w:p>
    <w:p w:rsidR="00ED14F6" w:rsidRDefault="00ED14F6" w:rsidP="00301F9D">
      <w:pPr>
        <w:pStyle w:val="NoSpacing"/>
        <w:numPr>
          <w:ilvl w:val="0"/>
          <w:numId w:val="9"/>
        </w:numPr>
        <w:rPr>
          <w:color w:val="FF0000"/>
        </w:rPr>
      </w:pPr>
      <w:r>
        <w:rPr>
          <w:color w:val="FF0000"/>
        </w:rPr>
        <w:t>Add test</w:t>
      </w:r>
    </w:p>
    <w:p w:rsidR="00ED14F6" w:rsidRPr="00301F9D" w:rsidRDefault="00ED14F6" w:rsidP="00301F9D">
      <w:pPr>
        <w:pStyle w:val="NoSpacing"/>
        <w:numPr>
          <w:ilvl w:val="0"/>
          <w:numId w:val="9"/>
        </w:numPr>
        <w:rPr>
          <w:color w:val="FF0000"/>
        </w:rPr>
      </w:pPr>
      <w:r>
        <w:rPr>
          <w:color w:val="FF0000"/>
        </w:rPr>
        <w:t>Add test</w:t>
      </w:r>
    </w:p>
    <w:p w:rsidR="00205DB4" w:rsidRDefault="00205DB4" w:rsidP="00AB2F4A">
      <w:pPr>
        <w:pStyle w:val="NoSpacing"/>
      </w:pPr>
    </w:p>
    <w:p w:rsidR="00B374A4" w:rsidRPr="00B374A4" w:rsidRDefault="00776731" w:rsidP="00AB2F4A">
      <w:pPr>
        <w:pStyle w:val="NoSpacing"/>
        <w:rPr>
          <w:b/>
        </w:rPr>
      </w:pPr>
      <w:r>
        <w:rPr>
          <w:b/>
        </w:rPr>
        <w:t>Clinical Evidence and Guidelines for Testing</w:t>
      </w:r>
    </w:p>
    <w:p w:rsidR="00D26A0D" w:rsidRPr="00D26A0D" w:rsidRDefault="00D26A0D" w:rsidP="00D26A0D">
      <w:pPr>
        <w:pStyle w:val="NoSpacing"/>
        <w:rPr>
          <w:vertAlign w:val="superscript"/>
        </w:rPr>
      </w:pPr>
      <w:r>
        <w:t xml:space="preserve">Epilepsy can be caused by genetic disorders, metabolic diseases, trauma, infection, and structural brain abnormalities. A genetic cause is identified more commonly in individuals with early-onset seizures, seizures that are intractable to treatment, and/or epileptic encephalopathy. Specifically, genes have been identified that are known to cause infantile spasms/West syndrome, </w:t>
      </w:r>
      <w:proofErr w:type="spellStart"/>
      <w:r>
        <w:t>Ohtahara</w:t>
      </w:r>
      <w:proofErr w:type="spellEnd"/>
      <w:r>
        <w:t xml:space="preserve"> syndrome, benign familial neonatal, infantile, and neonatal-infantile seizures (BFNS, BFIS, and BFNIS), generalized epilepsy with febrile seizures plus (GEFS+), progressive myoclonic epilepsies such as neuronal ceroid </w:t>
      </w:r>
      <w:proofErr w:type="spellStart"/>
      <w:r>
        <w:t>lipofuscinosis</w:t>
      </w:r>
      <w:proofErr w:type="spellEnd"/>
      <w:r>
        <w:t xml:space="preserve"> and </w:t>
      </w:r>
      <w:proofErr w:type="spellStart"/>
      <w:r>
        <w:t>Lafora</w:t>
      </w:r>
      <w:proofErr w:type="spellEnd"/>
      <w:r>
        <w:t xml:space="preserve"> disease, and others.</w:t>
      </w:r>
      <w:r>
        <w:rPr>
          <w:vertAlign w:val="superscript"/>
        </w:rPr>
        <w:t>1-4</w:t>
      </w:r>
    </w:p>
    <w:p w:rsidR="00D26A0D" w:rsidRDefault="00D26A0D" w:rsidP="00D26A0D">
      <w:pPr>
        <w:pStyle w:val="NoSpacing"/>
      </w:pPr>
    </w:p>
    <w:p w:rsidR="00DB3B6E" w:rsidRDefault="00D26A0D" w:rsidP="00D26A0D">
      <w:pPr>
        <w:pStyle w:val="NoSpacing"/>
        <w:rPr>
          <w:vertAlign w:val="superscript"/>
        </w:rPr>
      </w:pPr>
      <w:r>
        <w:lastRenderedPageBreak/>
        <w:t xml:space="preserve">Genetic testing is supported by evidence based medical literature to assist in confirming a diagnosis of a specific </w:t>
      </w:r>
      <w:proofErr w:type="spellStart"/>
      <w:r>
        <w:t>electroclinical</w:t>
      </w:r>
      <w:proofErr w:type="spellEnd"/>
      <w:r>
        <w:t xml:space="preserve"> syndrome and can elucidate the specific genetic cause for the disorder, which has important implications for medical management. Additionally, genetic testing can help individuals avoid other expensive, invasive, and potentially risky diagnostic testing, such as lumbar puncture, muscle biopsy, video EEG, and multiple imaging studies.</w:t>
      </w:r>
      <w:r>
        <w:rPr>
          <w:vertAlign w:val="superscript"/>
        </w:rPr>
        <w:t>1</w:t>
      </w:r>
      <w:proofErr w:type="gramStart"/>
      <w:r>
        <w:rPr>
          <w:vertAlign w:val="superscript"/>
        </w:rPr>
        <w:t>,5</w:t>
      </w:r>
      <w:proofErr w:type="gramEnd"/>
      <w:r>
        <w:t xml:space="preserve"> Due to the heterogeneous nature of epilepsy and the significant overlap in clinical symptoms among individuals with different types of epilepsy, multi-gene panels result in a higher diagnostic yield than traditional diagnostic methods and single gene testing.</w:t>
      </w:r>
      <w:r>
        <w:rPr>
          <w:vertAlign w:val="superscript"/>
        </w:rPr>
        <w:t>1,6</w:t>
      </w:r>
    </w:p>
    <w:p w:rsidR="008F5DB6" w:rsidRDefault="008F5DB6" w:rsidP="00D26A0D">
      <w:pPr>
        <w:pStyle w:val="NoSpacing"/>
        <w:rPr>
          <w:vertAlign w:val="superscript"/>
        </w:rPr>
      </w:pPr>
    </w:p>
    <w:p w:rsidR="008F5DB6" w:rsidRDefault="008F5DB6" w:rsidP="008F5DB6">
      <w:pPr>
        <w:spacing w:after="240"/>
        <w:rPr>
          <w:rFonts w:eastAsia="Calibri"/>
          <w:color w:val="000000"/>
        </w:rPr>
      </w:pPr>
      <w:r w:rsidRPr="00503FDA">
        <w:rPr>
          <w:rFonts w:eastAsia="Calibri"/>
          <w:color w:val="000000"/>
        </w:rPr>
        <w:t xml:space="preserve">Because epilepsy is clinically and genetically heterogeneous, it can be challenging to predict the disease-causing gene in a patient with epilepsy based clinical features alone. It is often necessary to perform testing of multiple genes (concurrently or as reflex tests) to identify the underlying genetic cause of epilepsy in an individual. Moreover, new genes are being discovered regularly, making it challenging for clinical laboratories to keep traditional testing panels updated. Additionally, interpretation of the clinical significance of variants in these newly discovered genes is often difficult in the absence of parental testing to clarify which variants are </w:t>
      </w:r>
      <w:r w:rsidRPr="00503FDA">
        <w:rPr>
          <w:rFonts w:eastAsia="Calibri"/>
          <w:i/>
          <w:iCs/>
          <w:color w:val="000000"/>
        </w:rPr>
        <w:t xml:space="preserve">de novo </w:t>
      </w:r>
      <w:r>
        <w:rPr>
          <w:rFonts w:eastAsia="Calibri"/>
          <w:color w:val="000000"/>
        </w:rPr>
        <w:t xml:space="preserve">or inherited.  </w:t>
      </w:r>
    </w:p>
    <w:p w:rsidR="00D26A0D" w:rsidRPr="008F5DB6" w:rsidRDefault="008F5DB6" w:rsidP="008F5DB6">
      <w:pPr>
        <w:spacing w:after="240"/>
        <w:rPr>
          <w:rFonts w:eastAsia="Calibri"/>
          <w:color w:val="000000"/>
        </w:rPr>
      </w:pPr>
      <w:r w:rsidRPr="00503FDA">
        <w:rPr>
          <w:rFonts w:eastAsia="Calibri"/>
          <w:color w:val="000000"/>
        </w:rPr>
        <w:t xml:space="preserve">To address the challenges with traditional genetic testing approaches for epilepsy, the </w:t>
      </w:r>
      <w:proofErr w:type="spellStart"/>
      <w:r w:rsidRPr="00503FDA">
        <w:rPr>
          <w:rFonts w:eastAsia="Calibri"/>
          <w:color w:val="000000"/>
        </w:rPr>
        <w:t>EpiXpanded</w:t>
      </w:r>
      <w:proofErr w:type="spellEnd"/>
      <w:r w:rsidRPr="00503FDA">
        <w:rPr>
          <w:rFonts w:eastAsia="Calibri"/>
          <w:color w:val="000000"/>
        </w:rPr>
        <w:t xml:space="preserve"> Panel uses a trio approach that includes concurrent analysis of the affected </w:t>
      </w:r>
      <w:proofErr w:type="spellStart"/>
      <w:r w:rsidRPr="00503FDA">
        <w:rPr>
          <w:rFonts w:eastAsia="Calibri"/>
          <w:color w:val="000000"/>
        </w:rPr>
        <w:t>proband</w:t>
      </w:r>
      <w:proofErr w:type="spellEnd"/>
      <w:r w:rsidRPr="00503FDA">
        <w:rPr>
          <w:rFonts w:eastAsia="Calibri"/>
          <w:color w:val="000000"/>
        </w:rPr>
        <w:t xml:space="preserve"> and both parents, which increases the likelihood of identifying a definitive genetic explanation for epilepsy.</w:t>
      </w:r>
      <w:r>
        <w:rPr>
          <w:rFonts w:eastAsia="Calibri"/>
          <w:color w:val="000000"/>
        </w:rPr>
        <w:t xml:space="preserve"> </w:t>
      </w:r>
      <w:r w:rsidRPr="00503FDA">
        <w:rPr>
          <w:rFonts w:eastAsia="Calibri"/>
          <w:color w:val="000000"/>
        </w:rPr>
        <w:t xml:space="preserve">The </w:t>
      </w:r>
      <w:proofErr w:type="spellStart"/>
      <w:r w:rsidRPr="00503FDA">
        <w:rPr>
          <w:rFonts w:eastAsia="Calibri"/>
          <w:color w:val="000000"/>
        </w:rPr>
        <w:t>EpiXpanded</w:t>
      </w:r>
      <w:proofErr w:type="spellEnd"/>
      <w:r w:rsidRPr="00503FDA">
        <w:rPr>
          <w:rFonts w:eastAsia="Calibri"/>
          <w:color w:val="000000"/>
        </w:rPr>
        <w:t xml:space="preserve"> Panel includes targeted analysis of a comprehensive list of approximately 1300 genes currently associated with epilepsy. The design of the panel allows for a comprehensive, dynamic gene list that is updated regularly to ensure inclusion of genes recently associated with epilepsy</w:t>
      </w:r>
      <w:r>
        <w:rPr>
          <w:rFonts w:eastAsia="Calibri"/>
          <w:color w:val="000000"/>
        </w:rPr>
        <w:t>.</w:t>
      </w:r>
    </w:p>
    <w:p w:rsidR="00B374A4" w:rsidRPr="00B374A4" w:rsidRDefault="00776731" w:rsidP="00AB2F4A">
      <w:pPr>
        <w:pStyle w:val="NoSpacing"/>
        <w:rPr>
          <w:b/>
        </w:rPr>
      </w:pPr>
      <w:r>
        <w:rPr>
          <w:b/>
        </w:rPr>
        <w:t xml:space="preserve">Patient Clinical Utility and </w:t>
      </w:r>
      <w:r w:rsidR="00B374A4" w:rsidRPr="00B374A4">
        <w:rPr>
          <w:b/>
        </w:rPr>
        <w:t>Medical Management</w:t>
      </w:r>
      <w:r w:rsidR="00B374A4">
        <w:rPr>
          <w:b/>
        </w:rPr>
        <w:t xml:space="preserve"> Implications</w:t>
      </w:r>
      <w:r w:rsidR="00B374A4" w:rsidRPr="00B374A4">
        <w:rPr>
          <w:b/>
        </w:rPr>
        <w:t xml:space="preserve"> </w:t>
      </w:r>
    </w:p>
    <w:p w:rsidR="00D26A0D" w:rsidRPr="00D26A0D" w:rsidRDefault="00D26A0D" w:rsidP="00D26A0D">
      <w:pPr>
        <w:pStyle w:val="NoSpacing"/>
        <w:rPr>
          <w:vertAlign w:val="superscript"/>
        </w:rPr>
      </w:pPr>
      <w:r>
        <w:t xml:space="preserve">Knowing the specific genetic cause of epilepsy can provide essential information about prognosis and can assist with decisions about treatment and management. For example, individuals with variants in the </w:t>
      </w:r>
      <w:r w:rsidRPr="00204100">
        <w:rPr>
          <w:i/>
        </w:rPr>
        <w:t xml:space="preserve">SCN1A </w:t>
      </w:r>
      <w:r>
        <w:t xml:space="preserve">gene respond optimally to antiepileptic drugs (AEDs) that bind to the GABA receptor such as </w:t>
      </w:r>
      <w:proofErr w:type="spellStart"/>
      <w:r>
        <w:t>clobazam</w:t>
      </w:r>
      <w:proofErr w:type="spellEnd"/>
      <w:r>
        <w:t xml:space="preserve"> or </w:t>
      </w:r>
      <w:proofErr w:type="spellStart"/>
      <w:r>
        <w:t>stiripentol</w:t>
      </w:r>
      <w:proofErr w:type="spellEnd"/>
      <w:r>
        <w:t xml:space="preserve">, whereas other common AEDs such as carbamazepine, lamotrigine, </w:t>
      </w:r>
      <w:proofErr w:type="spellStart"/>
      <w:r>
        <w:t>vigabatrin</w:t>
      </w:r>
      <w:proofErr w:type="spellEnd"/>
      <w:r>
        <w:t>, and phenytoin may actually induce or increase the frequency of seizures and movement disorders.</w:t>
      </w:r>
      <w:r>
        <w:rPr>
          <w:vertAlign w:val="superscript"/>
        </w:rPr>
        <w:t>7</w:t>
      </w:r>
      <w:r>
        <w:t xml:space="preserve"> Genetic testing was reported to enable an earlier definitive diagnosis and optimized treatment for </w:t>
      </w:r>
      <w:proofErr w:type="spellStart"/>
      <w:r>
        <w:t>Dravet</w:t>
      </w:r>
      <w:proofErr w:type="spellEnd"/>
      <w:r>
        <w:t xml:space="preserve"> syndrome or another </w:t>
      </w:r>
      <w:r w:rsidRPr="00204100">
        <w:rPr>
          <w:i/>
        </w:rPr>
        <w:t>SCN1A</w:t>
      </w:r>
      <w:r>
        <w:t>-related disorder in nearly half of individuals with infantile-onset seizures, compared to diagnosis using EEG findings and clinical phenotype alone.</w:t>
      </w:r>
      <w:r>
        <w:rPr>
          <w:vertAlign w:val="superscript"/>
        </w:rPr>
        <w:t>8</w:t>
      </w:r>
      <w:r>
        <w:t xml:space="preserve"> Moreover, identification of a pathogenic </w:t>
      </w:r>
      <w:r w:rsidRPr="00204100">
        <w:rPr>
          <w:i/>
        </w:rPr>
        <w:t>SCN1A</w:t>
      </w:r>
      <w:r>
        <w:t xml:space="preserve"> variant altered the treatment approach in 69% of cases.</w:t>
      </w:r>
      <w:r>
        <w:rPr>
          <w:vertAlign w:val="superscript"/>
        </w:rPr>
        <w:t>8</w:t>
      </w:r>
      <w:r>
        <w:t xml:space="preserve"> Molecular genetic testing is also critical for determining appropriate treatment for individuals with </w:t>
      </w:r>
      <w:proofErr w:type="spellStart"/>
      <w:r>
        <w:t>Alpers</w:t>
      </w:r>
      <w:proofErr w:type="spellEnd"/>
      <w:r>
        <w:t xml:space="preserve"> syndrome and other </w:t>
      </w:r>
      <w:r w:rsidRPr="00204100">
        <w:rPr>
          <w:i/>
        </w:rPr>
        <w:t>POLG</w:t>
      </w:r>
      <w:r>
        <w:t xml:space="preserve">-related disorders, who should avoid valproate and sodium </w:t>
      </w:r>
      <w:proofErr w:type="spellStart"/>
      <w:r>
        <w:t>divalproate</w:t>
      </w:r>
      <w:proofErr w:type="spellEnd"/>
      <w:r>
        <w:t xml:space="preserve"> due to the risk that these medications may induce or accelerate liver disease.</w:t>
      </w:r>
      <w:r>
        <w:rPr>
          <w:vertAlign w:val="superscript"/>
        </w:rPr>
        <w:t>9</w:t>
      </w:r>
      <w:r>
        <w:t xml:space="preserve"> Other gene-specific therapies include use of the ketogenic diet for individuals with glucose transporter type 1 deficiency syndrome (GLUT1-DS) due to </w:t>
      </w:r>
      <w:r w:rsidRPr="00204100">
        <w:rPr>
          <w:i/>
        </w:rPr>
        <w:t>SLC2A1</w:t>
      </w:r>
      <w:r>
        <w:t xml:space="preserve"> pathogenic variants, quinidine for individuals with </w:t>
      </w:r>
      <w:r w:rsidRPr="00204100">
        <w:rPr>
          <w:i/>
        </w:rPr>
        <w:t>KCNT1</w:t>
      </w:r>
      <w:r>
        <w:t xml:space="preserve"> gain-of-function pathogenic variants, and sodium channel blockers for individuals with </w:t>
      </w:r>
      <w:r w:rsidRPr="00204100">
        <w:rPr>
          <w:i/>
        </w:rPr>
        <w:t>SCN8A</w:t>
      </w:r>
      <w:r>
        <w:t xml:space="preserve"> gain-of-function pathogenic variants.</w:t>
      </w:r>
      <w:r>
        <w:rPr>
          <w:vertAlign w:val="superscript"/>
        </w:rPr>
        <w:t>10-12</w:t>
      </w:r>
    </w:p>
    <w:p w:rsidR="00D26A0D" w:rsidRDefault="00D26A0D" w:rsidP="00D26A0D">
      <w:pPr>
        <w:pStyle w:val="NoSpacing"/>
      </w:pPr>
    </w:p>
    <w:p w:rsidR="00D26A0D" w:rsidRPr="00D26A0D" w:rsidRDefault="00D26A0D" w:rsidP="00D26A0D">
      <w:pPr>
        <w:pStyle w:val="NoSpacing"/>
        <w:rPr>
          <w:vertAlign w:val="superscript"/>
        </w:rPr>
      </w:pPr>
      <w:r>
        <w:t xml:space="preserve">Genetic testing may also lead to an unexpected diagnosis of a metabolic disease or other genetic disorder, which require very specific and potentially urgent life-saving treatment. For example, individuals with pathogenic variants in the </w:t>
      </w:r>
      <w:r w:rsidRPr="00204100">
        <w:rPr>
          <w:i/>
        </w:rPr>
        <w:t>ALDH7A1</w:t>
      </w:r>
      <w:r>
        <w:t xml:space="preserve"> gene typically do not respond to treatment with AEDs, but seizures respond to supplemental pyridoxine.</w:t>
      </w:r>
      <w:r>
        <w:rPr>
          <w:vertAlign w:val="superscript"/>
        </w:rPr>
        <w:t>13</w:t>
      </w:r>
      <w:r>
        <w:t xml:space="preserve"> Similarly, treatment with pyridoxyl-5’-phosphate is effective for individuals with pathogenic variants in the </w:t>
      </w:r>
      <w:r w:rsidRPr="00204100">
        <w:rPr>
          <w:i/>
        </w:rPr>
        <w:t xml:space="preserve">PNPO </w:t>
      </w:r>
      <w:r>
        <w:t xml:space="preserve">gene, treatment with supplemental </w:t>
      </w:r>
      <w:proofErr w:type="spellStart"/>
      <w:r>
        <w:t>folinic</w:t>
      </w:r>
      <w:proofErr w:type="spellEnd"/>
      <w:r>
        <w:t xml:space="preserve"> acid is effective for individuals with cerebral folate deficiency due to pathogenic </w:t>
      </w:r>
      <w:r>
        <w:lastRenderedPageBreak/>
        <w:t xml:space="preserve">variants in the </w:t>
      </w:r>
      <w:r w:rsidRPr="00204100">
        <w:rPr>
          <w:i/>
        </w:rPr>
        <w:t>FOLR1</w:t>
      </w:r>
      <w:r>
        <w:t xml:space="preserve"> gene, treatment with biotin and thiamine supplementation is effective for individuals with thiamine metabolism dysfunction disorders due to variants in </w:t>
      </w:r>
      <w:r w:rsidRPr="00204100">
        <w:rPr>
          <w:i/>
        </w:rPr>
        <w:t>SLC19A3</w:t>
      </w:r>
      <w:r>
        <w:t xml:space="preserve">, and treatment with oral </w:t>
      </w:r>
      <w:proofErr w:type="spellStart"/>
      <w:r>
        <w:t>creatine</w:t>
      </w:r>
      <w:proofErr w:type="spellEnd"/>
      <w:r>
        <w:t xml:space="preserve"> can improve seizures in individuals with </w:t>
      </w:r>
      <w:proofErr w:type="spellStart"/>
      <w:r>
        <w:t>creatine</w:t>
      </w:r>
      <w:proofErr w:type="spellEnd"/>
      <w:r>
        <w:t xml:space="preserve"> deficiency syndromes due to pathogenic variants in the </w:t>
      </w:r>
      <w:r w:rsidRPr="00204100">
        <w:rPr>
          <w:i/>
        </w:rPr>
        <w:t>GAMT</w:t>
      </w:r>
      <w:r>
        <w:t xml:space="preserve"> and </w:t>
      </w:r>
      <w:r w:rsidRPr="00204100">
        <w:rPr>
          <w:i/>
        </w:rPr>
        <w:t>GATM</w:t>
      </w:r>
      <w:r>
        <w:t xml:space="preserve"> genes.</w:t>
      </w:r>
      <w:r w:rsidR="00DA779B">
        <w:rPr>
          <w:vertAlign w:val="superscript"/>
        </w:rPr>
        <w:t>13-16</w:t>
      </w:r>
    </w:p>
    <w:p w:rsidR="00DB3B6E" w:rsidRDefault="00DB3B6E" w:rsidP="00AB2F4A">
      <w:pPr>
        <w:pStyle w:val="NoSpacing"/>
      </w:pPr>
    </w:p>
    <w:p w:rsidR="00887B41" w:rsidRPr="00887B41" w:rsidRDefault="00887B41" w:rsidP="00AB2F4A">
      <w:pPr>
        <w:pStyle w:val="NoSpacing"/>
        <w:rPr>
          <w:color w:val="FF0000"/>
        </w:rPr>
      </w:pPr>
      <w:r>
        <w:rPr>
          <w:color w:val="FF0000"/>
        </w:rPr>
        <w:t>Specifically for this patient,</w:t>
      </w:r>
      <w:r w:rsidR="00D26A0D">
        <w:rPr>
          <w:color w:val="FF0000"/>
        </w:rPr>
        <w:t xml:space="preserve"> the results of this testing</w:t>
      </w:r>
      <w:r>
        <w:rPr>
          <w:color w:val="FF0000"/>
        </w:rPr>
        <w:t xml:space="preserve"> will also </w:t>
      </w:r>
      <w:r w:rsidR="00535623">
        <w:rPr>
          <w:color w:val="FF0000"/>
        </w:rPr>
        <w:t>{</w:t>
      </w:r>
      <w:r>
        <w:rPr>
          <w:color w:val="FF0000"/>
        </w:rPr>
        <w:t>ADD ADDITIONAL INFORMATION}</w:t>
      </w:r>
    </w:p>
    <w:p w:rsidR="00B27690" w:rsidRDefault="00B27690" w:rsidP="00AB2F4A">
      <w:pPr>
        <w:pStyle w:val="NoSpacing"/>
      </w:pPr>
    </w:p>
    <w:p w:rsidR="00B374A4" w:rsidRPr="00B374A4" w:rsidRDefault="00B374A4" w:rsidP="00AB2F4A">
      <w:pPr>
        <w:pStyle w:val="NoSpacing"/>
        <w:rPr>
          <w:b/>
        </w:rPr>
      </w:pPr>
      <w:r w:rsidRPr="00B374A4">
        <w:rPr>
          <w:b/>
        </w:rPr>
        <w:t>Summary</w:t>
      </w:r>
    </w:p>
    <w:p w:rsidR="00AB2F4A" w:rsidRDefault="00AB2F4A" w:rsidP="00AB2F4A">
      <w:pPr>
        <w:pStyle w:val="NoSpacing"/>
      </w:pPr>
      <w:r w:rsidRPr="00AB2F4A">
        <w:t xml:space="preserve">The </w:t>
      </w:r>
      <w:proofErr w:type="spellStart"/>
      <w:r w:rsidR="008F5DB6">
        <w:t>EpiXpanded</w:t>
      </w:r>
      <w:proofErr w:type="spellEnd"/>
      <w:r w:rsidR="008F5DB6">
        <w:t xml:space="preserve"> </w:t>
      </w:r>
      <w:r w:rsidR="008F5DB6" w:rsidRPr="00D26A0D">
        <w:t>Panel</w:t>
      </w:r>
      <w:r w:rsidR="008F5DB6">
        <w:t xml:space="preserve"> </w:t>
      </w:r>
      <w:r w:rsidRPr="00AB2F4A">
        <w:t xml:space="preserve">at </w:t>
      </w:r>
      <w:proofErr w:type="spellStart"/>
      <w:r w:rsidRPr="00AB2F4A">
        <w:t>GeneD</w:t>
      </w:r>
      <w:r w:rsidR="00342070">
        <w:t>x</w:t>
      </w:r>
      <w:proofErr w:type="spellEnd"/>
      <w:r w:rsidR="00342070">
        <w:t xml:space="preserve"> is a highly sensitive </w:t>
      </w:r>
      <w:r w:rsidRPr="00AB2F4A">
        <w:t>and cost-effective geneti</w:t>
      </w:r>
      <w:r w:rsidR="00342070">
        <w:t>c test</w:t>
      </w:r>
      <w:r w:rsidRPr="00AB2F4A">
        <w:t xml:space="preserve">.  </w:t>
      </w:r>
      <w:r w:rsidR="00FB3BE6" w:rsidRPr="00AB2F4A">
        <w:t>I am requesting coverage for this medically necessary</w:t>
      </w:r>
      <w:r w:rsidR="00205DB4">
        <w:t xml:space="preserve"> test</w:t>
      </w:r>
      <w:r w:rsidR="00FB3BE6" w:rsidRPr="00AB2F4A">
        <w:t xml:space="preserve"> </w:t>
      </w:r>
      <w:r w:rsidR="00E04C9D" w:rsidRPr="00AB2F4A">
        <w:rPr>
          <w:color w:val="000000"/>
        </w:rPr>
        <w:t xml:space="preserve">in order to </w:t>
      </w:r>
      <w:r w:rsidR="00FB3BE6" w:rsidRPr="00AB2F4A">
        <w:rPr>
          <w:color w:val="000000"/>
        </w:rPr>
        <w:t>establish</w:t>
      </w:r>
      <w:r w:rsidR="00E04C9D" w:rsidRPr="00AB2F4A">
        <w:rPr>
          <w:color w:val="000000"/>
        </w:rPr>
        <w:t xml:space="preserve"> appropriate medical management for this patient.</w:t>
      </w:r>
      <w:r w:rsidR="00E04C9D" w:rsidRPr="00AB2F4A">
        <w:t xml:space="preserve">  Without testing, treatment would be suboptimal, subjecting this patient to increased morbidity and potentially early mortality.  </w:t>
      </w:r>
    </w:p>
    <w:p w:rsidR="00205DB4" w:rsidRPr="00AB2F4A" w:rsidRDefault="00205DB4" w:rsidP="00AB2F4A">
      <w:pPr>
        <w:pStyle w:val="NoSpacing"/>
      </w:pPr>
    </w:p>
    <w:p w:rsidR="00AB2F4A" w:rsidRDefault="00AB2F4A" w:rsidP="00AB2F4A">
      <w:pPr>
        <w:pStyle w:val="NoSpacing"/>
      </w:pPr>
      <w:r w:rsidRPr="00AB2F4A">
        <w:t xml:space="preserve">Thank you for your review and consideration.  If you have questions, or if I can be of further assistance, please do not hesitate to call me at </w:t>
      </w:r>
      <w:r w:rsidRPr="00AB2F4A">
        <w:rPr>
          <w:color w:val="FF0000"/>
        </w:rPr>
        <w:t>(XXX) XXX-XXXX</w:t>
      </w:r>
      <w:r>
        <w:t>.</w:t>
      </w:r>
    </w:p>
    <w:p w:rsidR="00205DB4" w:rsidRDefault="00205DB4" w:rsidP="00AB2F4A">
      <w:pPr>
        <w:pStyle w:val="NoSpacing"/>
      </w:pPr>
    </w:p>
    <w:p w:rsidR="00205DB4" w:rsidRDefault="00205DB4" w:rsidP="00AB2F4A">
      <w:pPr>
        <w:pStyle w:val="NoSpacing"/>
      </w:pPr>
      <w:r>
        <w:t>Sincerely,</w:t>
      </w:r>
    </w:p>
    <w:p w:rsidR="00205DB4" w:rsidRDefault="00205DB4" w:rsidP="00AB2F4A">
      <w:pPr>
        <w:pStyle w:val="NoSpacing"/>
      </w:pPr>
    </w:p>
    <w:p w:rsidR="00DB3B6E" w:rsidRDefault="00DB3B6E" w:rsidP="00AB2F4A">
      <w:pPr>
        <w:pStyle w:val="NoSpacing"/>
      </w:pPr>
    </w:p>
    <w:p w:rsidR="00205DB4" w:rsidRPr="00205DB4" w:rsidRDefault="00342070" w:rsidP="00AB2F4A">
      <w:pPr>
        <w:pStyle w:val="NoSpacing"/>
        <w:rPr>
          <w:color w:val="FF0000"/>
        </w:rPr>
      </w:pPr>
      <w:r>
        <w:rPr>
          <w:color w:val="FF0000"/>
        </w:rPr>
        <w:t>Signature</w:t>
      </w:r>
    </w:p>
    <w:p w:rsidR="00205DB4" w:rsidRDefault="00205DB4" w:rsidP="00AB2F4A">
      <w:pPr>
        <w:pStyle w:val="NoSpacing"/>
        <w:rPr>
          <w:color w:val="FF0000"/>
        </w:rPr>
      </w:pPr>
      <w:r w:rsidRPr="00205DB4">
        <w:rPr>
          <w:color w:val="FF0000"/>
        </w:rPr>
        <w:t>Ordering Provider’</w:t>
      </w:r>
      <w:r>
        <w:rPr>
          <w:color w:val="FF0000"/>
        </w:rPr>
        <w:t xml:space="preserve">s Name </w:t>
      </w:r>
    </w:p>
    <w:p w:rsidR="00C247D1" w:rsidRDefault="00C247D1" w:rsidP="00AB2F4A">
      <w:pPr>
        <w:pStyle w:val="NoSpacing"/>
        <w:rPr>
          <w:color w:val="FF0000"/>
        </w:rPr>
      </w:pPr>
    </w:p>
    <w:p w:rsidR="00C247D1" w:rsidRDefault="00C247D1" w:rsidP="00AB2F4A">
      <w:pPr>
        <w:pStyle w:val="NoSpacing"/>
        <w:rPr>
          <w:color w:val="FF0000"/>
        </w:rPr>
      </w:pPr>
    </w:p>
    <w:p w:rsidR="00454799" w:rsidRDefault="00454799" w:rsidP="00454799">
      <w:pPr>
        <w:rPr>
          <w:sz w:val="18"/>
          <w:szCs w:val="18"/>
        </w:rPr>
      </w:pPr>
      <w:r w:rsidRPr="00D26A0D">
        <w:rPr>
          <w:sz w:val="18"/>
          <w:szCs w:val="18"/>
        </w:rPr>
        <w:t>References:</w:t>
      </w:r>
    </w:p>
    <w:p w:rsidR="00D26A0D" w:rsidRPr="00D26A0D" w:rsidRDefault="00D26A0D" w:rsidP="00D26A0D">
      <w:pPr>
        <w:numPr>
          <w:ilvl w:val="0"/>
          <w:numId w:val="10"/>
        </w:numPr>
        <w:rPr>
          <w:sz w:val="18"/>
          <w:szCs w:val="18"/>
        </w:rPr>
      </w:pPr>
      <w:r w:rsidRPr="00D26A0D">
        <w:rPr>
          <w:sz w:val="18"/>
          <w:szCs w:val="18"/>
        </w:rPr>
        <w:t xml:space="preserve">Pong et al., (2011) Developments in molecular genetic diagnostics: an update for the pediatric epilepsy specialist. </w:t>
      </w:r>
      <w:proofErr w:type="spellStart"/>
      <w:r w:rsidRPr="00D26A0D">
        <w:rPr>
          <w:i/>
          <w:iCs/>
          <w:sz w:val="18"/>
          <w:szCs w:val="18"/>
        </w:rPr>
        <w:t>Pediatr</w:t>
      </w:r>
      <w:proofErr w:type="spellEnd"/>
      <w:r w:rsidRPr="00D26A0D">
        <w:rPr>
          <w:i/>
          <w:iCs/>
          <w:sz w:val="18"/>
          <w:szCs w:val="18"/>
        </w:rPr>
        <w:t xml:space="preserve"> </w:t>
      </w:r>
      <w:proofErr w:type="spellStart"/>
      <w:r w:rsidRPr="00D26A0D">
        <w:rPr>
          <w:i/>
          <w:iCs/>
          <w:sz w:val="18"/>
          <w:szCs w:val="18"/>
        </w:rPr>
        <w:t>Neurol</w:t>
      </w:r>
      <w:proofErr w:type="spellEnd"/>
      <w:r w:rsidRPr="00D26A0D">
        <w:rPr>
          <w:i/>
          <w:iCs/>
          <w:sz w:val="18"/>
          <w:szCs w:val="18"/>
        </w:rPr>
        <w:t xml:space="preserve"> </w:t>
      </w:r>
      <w:r w:rsidRPr="00D26A0D">
        <w:rPr>
          <w:sz w:val="18"/>
          <w:szCs w:val="18"/>
        </w:rPr>
        <w:t xml:space="preserve">44:317-327. </w:t>
      </w:r>
    </w:p>
    <w:p w:rsidR="00D26A0D" w:rsidRPr="00D26A0D" w:rsidRDefault="00D26A0D" w:rsidP="00D26A0D">
      <w:pPr>
        <w:numPr>
          <w:ilvl w:val="0"/>
          <w:numId w:val="10"/>
        </w:numPr>
        <w:rPr>
          <w:sz w:val="18"/>
          <w:szCs w:val="18"/>
        </w:rPr>
      </w:pPr>
      <w:proofErr w:type="spellStart"/>
      <w:r w:rsidRPr="00D26A0D">
        <w:rPr>
          <w:sz w:val="18"/>
          <w:szCs w:val="18"/>
        </w:rPr>
        <w:t>Nicita</w:t>
      </w:r>
      <w:proofErr w:type="spellEnd"/>
      <w:r w:rsidRPr="00D26A0D">
        <w:rPr>
          <w:sz w:val="18"/>
          <w:szCs w:val="18"/>
        </w:rPr>
        <w:t xml:space="preserve"> et al., (2011) </w:t>
      </w:r>
      <w:proofErr w:type="gramStart"/>
      <w:r w:rsidRPr="00D26A0D">
        <w:rPr>
          <w:sz w:val="18"/>
          <w:szCs w:val="18"/>
        </w:rPr>
        <w:t>The</w:t>
      </w:r>
      <w:proofErr w:type="gramEnd"/>
      <w:r w:rsidRPr="00D26A0D">
        <w:rPr>
          <w:sz w:val="18"/>
          <w:szCs w:val="18"/>
        </w:rPr>
        <w:t xml:space="preserve"> genetics of monogenic idiopathic epilepsies and epileptic encephalopathies. </w:t>
      </w:r>
      <w:r w:rsidRPr="00D26A0D">
        <w:rPr>
          <w:i/>
          <w:iCs/>
          <w:sz w:val="18"/>
          <w:szCs w:val="18"/>
        </w:rPr>
        <w:t xml:space="preserve">Seizure: </w:t>
      </w:r>
      <w:proofErr w:type="spellStart"/>
      <w:r w:rsidRPr="00D26A0D">
        <w:rPr>
          <w:i/>
          <w:iCs/>
          <w:sz w:val="18"/>
          <w:szCs w:val="18"/>
        </w:rPr>
        <w:t>Eur</w:t>
      </w:r>
      <w:proofErr w:type="spellEnd"/>
      <w:r w:rsidRPr="00D26A0D">
        <w:rPr>
          <w:i/>
          <w:iCs/>
          <w:sz w:val="18"/>
          <w:szCs w:val="18"/>
        </w:rPr>
        <w:t xml:space="preserve"> J Epilepsy </w:t>
      </w:r>
      <w:r w:rsidRPr="00D26A0D">
        <w:rPr>
          <w:sz w:val="18"/>
          <w:szCs w:val="18"/>
        </w:rPr>
        <w:t xml:space="preserve">doi:10.1016/j.seizure.2011.08.007 </w:t>
      </w:r>
    </w:p>
    <w:p w:rsidR="00D26A0D" w:rsidRPr="00D26A0D" w:rsidRDefault="00D26A0D" w:rsidP="00D26A0D">
      <w:pPr>
        <w:numPr>
          <w:ilvl w:val="0"/>
          <w:numId w:val="10"/>
        </w:numPr>
        <w:rPr>
          <w:sz w:val="18"/>
          <w:szCs w:val="18"/>
        </w:rPr>
      </w:pPr>
      <w:r w:rsidRPr="00D26A0D">
        <w:rPr>
          <w:sz w:val="18"/>
          <w:szCs w:val="18"/>
        </w:rPr>
        <w:t xml:space="preserve">Ottman et al., (2010) Genetic testing in the epilepsies—report of the ILAE Genetics Commission. </w:t>
      </w:r>
      <w:proofErr w:type="spellStart"/>
      <w:r w:rsidRPr="00D26A0D">
        <w:rPr>
          <w:i/>
          <w:iCs/>
          <w:sz w:val="18"/>
          <w:szCs w:val="18"/>
        </w:rPr>
        <w:t>Epilepsia</w:t>
      </w:r>
      <w:proofErr w:type="spellEnd"/>
      <w:r w:rsidRPr="00D26A0D">
        <w:rPr>
          <w:i/>
          <w:iCs/>
          <w:sz w:val="18"/>
          <w:szCs w:val="18"/>
        </w:rPr>
        <w:t xml:space="preserve"> </w:t>
      </w:r>
      <w:r w:rsidRPr="00D26A0D">
        <w:rPr>
          <w:sz w:val="18"/>
          <w:szCs w:val="18"/>
        </w:rPr>
        <w:t xml:space="preserve">51:655-670. </w:t>
      </w:r>
    </w:p>
    <w:p w:rsidR="00D26A0D" w:rsidRPr="00D26A0D" w:rsidRDefault="00D26A0D" w:rsidP="00D26A0D">
      <w:pPr>
        <w:numPr>
          <w:ilvl w:val="0"/>
          <w:numId w:val="10"/>
        </w:numPr>
        <w:rPr>
          <w:sz w:val="18"/>
          <w:szCs w:val="18"/>
        </w:rPr>
      </w:pPr>
      <w:r w:rsidRPr="00D26A0D">
        <w:rPr>
          <w:sz w:val="18"/>
          <w:szCs w:val="18"/>
        </w:rPr>
        <w:t xml:space="preserve">Pal et al., (2010) Genetic evaluation and counseling for epilepsy. </w:t>
      </w:r>
      <w:r w:rsidRPr="00D26A0D">
        <w:rPr>
          <w:i/>
          <w:iCs/>
          <w:sz w:val="18"/>
          <w:szCs w:val="18"/>
        </w:rPr>
        <w:t xml:space="preserve">Nat Rev </w:t>
      </w:r>
      <w:proofErr w:type="spellStart"/>
      <w:r w:rsidRPr="00D26A0D">
        <w:rPr>
          <w:i/>
          <w:iCs/>
          <w:sz w:val="18"/>
          <w:szCs w:val="18"/>
        </w:rPr>
        <w:t>Neurol</w:t>
      </w:r>
      <w:proofErr w:type="spellEnd"/>
      <w:r w:rsidRPr="00D26A0D">
        <w:rPr>
          <w:i/>
          <w:iCs/>
          <w:sz w:val="18"/>
          <w:szCs w:val="18"/>
        </w:rPr>
        <w:t xml:space="preserve"> </w:t>
      </w:r>
      <w:r w:rsidRPr="00D26A0D">
        <w:rPr>
          <w:sz w:val="18"/>
          <w:szCs w:val="18"/>
        </w:rPr>
        <w:t xml:space="preserve">6:445-453. </w:t>
      </w:r>
    </w:p>
    <w:p w:rsidR="00D26A0D" w:rsidRPr="00D26A0D" w:rsidRDefault="00D26A0D" w:rsidP="00D26A0D">
      <w:pPr>
        <w:numPr>
          <w:ilvl w:val="0"/>
          <w:numId w:val="10"/>
        </w:numPr>
        <w:rPr>
          <w:sz w:val="18"/>
          <w:szCs w:val="18"/>
        </w:rPr>
      </w:pPr>
      <w:r w:rsidRPr="00D26A0D">
        <w:rPr>
          <w:sz w:val="18"/>
          <w:szCs w:val="18"/>
        </w:rPr>
        <w:t xml:space="preserve">Ream et al. (2014) Clinical utility of genetic testing in pediatric drug-resistant epilepsy: a pilot study. </w:t>
      </w:r>
      <w:r w:rsidRPr="00D26A0D">
        <w:rPr>
          <w:i/>
          <w:sz w:val="18"/>
          <w:szCs w:val="18"/>
        </w:rPr>
        <w:t>Epilepsy &amp; Behavior: E&amp;B</w:t>
      </w:r>
      <w:r w:rsidRPr="00D26A0D">
        <w:rPr>
          <w:sz w:val="18"/>
          <w:szCs w:val="18"/>
        </w:rPr>
        <w:t xml:space="preserve"> 37:241-8</w:t>
      </w:r>
    </w:p>
    <w:p w:rsidR="00D26A0D" w:rsidRPr="00D26A0D" w:rsidRDefault="00D26A0D" w:rsidP="00D26A0D">
      <w:pPr>
        <w:numPr>
          <w:ilvl w:val="0"/>
          <w:numId w:val="10"/>
        </w:numPr>
        <w:rPr>
          <w:sz w:val="18"/>
          <w:szCs w:val="18"/>
        </w:rPr>
      </w:pPr>
      <w:r w:rsidRPr="00D26A0D">
        <w:rPr>
          <w:sz w:val="18"/>
          <w:szCs w:val="18"/>
        </w:rPr>
        <w:t xml:space="preserve">Miller IO, </w:t>
      </w:r>
      <w:proofErr w:type="spellStart"/>
      <w:r w:rsidRPr="00D26A0D">
        <w:rPr>
          <w:sz w:val="18"/>
          <w:szCs w:val="18"/>
        </w:rPr>
        <w:t>Sotero</w:t>
      </w:r>
      <w:proofErr w:type="spellEnd"/>
      <w:r w:rsidRPr="00D26A0D">
        <w:rPr>
          <w:sz w:val="18"/>
          <w:szCs w:val="18"/>
        </w:rPr>
        <w:t xml:space="preserve"> de Menezes MA. SCN1A-Related Seizure Disorders. 2007 Nov 29 [Updated 2014 May 15]. In: </w:t>
      </w:r>
      <w:proofErr w:type="spellStart"/>
      <w:r w:rsidRPr="00D26A0D">
        <w:rPr>
          <w:sz w:val="18"/>
          <w:szCs w:val="18"/>
        </w:rPr>
        <w:t>Pagon</w:t>
      </w:r>
      <w:proofErr w:type="spellEnd"/>
      <w:r w:rsidRPr="00D26A0D">
        <w:rPr>
          <w:sz w:val="18"/>
          <w:szCs w:val="18"/>
        </w:rPr>
        <w:t xml:space="preserve"> RA, Adam MP, </w:t>
      </w:r>
      <w:proofErr w:type="spellStart"/>
      <w:r w:rsidRPr="00D26A0D">
        <w:rPr>
          <w:sz w:val="18"/>
          <w:szCs w:val="18"/>
        </w:rPr>
        <w:t>Ardinger</w:t>
      </w:r>
      <w:proofErr w:type="spellEnd"/>
      <w:r w:rsidRPr="00D26A0D">
        <w:rPr>
          <w:sz w:val="18"/>
          <w:szCs w:val="18"/>
        </w:rPr>
        <w:t xml:space="preserve"> HH, et al., editors. </w:t>
      </w:r>
      <w:proofErr w:type="spellStart"/>
      <w:r w:rsidRPr="00D26A0D">
        <w:rPr>
          <w:sz w:val="18"/>
          <w:szCs w:val="18"/>
        </w:rPr>
        <w:t>GeneReviews</w:t>
      </w:r>
      <w:proofErr w:type="spellEnd"/>
      <w:r w:rsidRPr="00D26A0D">
        <w:rPr>
          <w:sz w:val="18"/>
          <w:szCs w:val="18"/>
        </w:rPr>
        <w:t xml:space="preserve">® [Internet]. Seattle (WA): University of Washington, Seattle; 1993-2017. Available from: </w:t>
      </w:r>
      <w:hyperlink r:id="rId5" w:history="1">
        <w:r w:rsidRPr="00D26A0D">
          <w:rPr>
            <w:rStyle w:val="Hyperlink"/>
            <w:sz w:val="18"/>
            <w:szCs w:val="18"/>
          </w:rPr>
          <w:t>https://www.ncbi.nlm.nih.gov/books/NBK1318/</w:t>
        </w:r>
      </w:hyperlink>
    </w:p>
    <w:p w:rsidR="00D26A0D" w:rsidRPr="00D26A0D" w:rsidRDefault="00D26A0D" w:rsidP="00D26A0D">
      <w:pPr>
        <w:numPr>
          <w:ilvl w:val="0"/>
          <w:numId w:val="10"/>
        </w:numPr>
        <w:rPr>
          <w:sz w:val="18"/>
          <w:szCs w:val="18"/>
        </w:rPr>
      </w:pPr>
      <w:proofErr w:type="spellStart"/>
      <w:r w:rsidRPr="00D26A0D">
        <w:rPr>
          <w:sz w:val="18"/>
          <w:szCs w:val="18"/>
        </w:rPr>
        <w:t>Brunklaus</w:t>
      </w:r>
      <w:proofErr w:type="spellEnd"/>
      <w:r w:rsidRPr="00D26A0D">
        <w:rPr>
          <w:sz w:val="18"/>
          <w:szCs w:val="18"/>
        </w:rPr>
        <w:t xml:space="preserve"> et al. (2013) </w:t>
      </w:r>
      <w:proofErr w:type="gramStart"/>
      <w:r w:rsidRPr="00D26A0D">
        <w:rPr>
          <w:sz w:val="18"/>
          <w:szCs w:val="18"/>
        </w:rPr>
        <w:t>The</w:t>
      </w:r>
      <w:proofErr w:type="gramEnd"/>
      <w:r w:rsidRPr="00D26A0D">
        <w:rPr>
          <w:sz w:val="18"/>
          <w:szCs w:val="18"/>
        </w:rPr>
        <w:t xml:space="preserve"> clinical utility of an SCN1A genetic diagnosis in infantile-onset epilepsy. </w:t>
      </w:r>
      <w:r w:rsidRPr="00D26A0D">
        <w:rPr>
          <w:i/>
          <w:sz w:val="18"/>
          <w:szCs w:val="18"/>
        </w:rPr>
        <w:t xml:space="preserve">Dev Med Child </w:t>
      </w:r>
      <w:proofErr w:type="spellStart"/>
      <w:r w:rsidRPr="00D26A0D">
        <w:rPr>
          <w:i/>
          <w:sz w:val="18"/>
          <w:szCs w:val="18"/>
        </w:rPr>
        <w:t>Neurol</w:t>
      </w:r>
      <w:proofErr w:type="spellEnd"/>
      <w:r w:rsidRPr="00D26A0D">
        <w:rPr>
          <w:i/>
          <w:sz w:val="18"/>
          <w:szCs w:val="18"/>
        </w:rPr>
        <w:t xml:space="preserve"> </w:t>
      </w:r>
      <w:r w:rsidRPr="00D26A0D">
        <w:rPr>
          <w:sz w:val="18"/>
          <w:szCs w:val="18"/>
        </w:rPr>
        <w:t>55 (2):154-61</w:t>
      </w:r>
    </w:p>
    <w:p w:rsidR="00D26A0D" w:rsidRPr="00D26A0D" w:rsidRDefault="00D26A0D" w:rsidP="00D26A0D">
      <w:pPr>
        <w:numPr>
          <w:ilvl w:val="0"/>
          <w:numId w:val="10"/>
        </w:numPr>
        <w:rPr>
          <w:sz w:val="18"/>
          <w:szCs w:val="18"/>
        </w:rPr>
      </w:pPr>
      <w:r w:rsidRPr="00D26A0D">
        <w:rPr>
          <w:sz w:val="18"/>
          <w:szCs w:val="18"/>
        </w:rPr>
        <w:t xml:space="preserve">Cohen BH, </w:t>
      </w:r>
      <w:proofErr w:type="spellStart"/>
      <w:r w:rsidRPr="00D26A0D">
        <w:rPr>
          <w:sz w:val="18"/>
          <w:szCs w:val="18"/>
        </w:rPr>
        <w:t>Chinnery</w:t>
      </w:r>
      <w:proofErr w:type="spellEnd"/>
      <w:r w:rsidRPr="00D26A0D">
        <w:rPr>
          <w:sz w:val="18"/>
          <w:szCs w:val="18"/>
        </w:rPr>
        <w:t xml:space="preserve"> PF, Copeland WC. POLG-Related Disorders. 2010 Mar 16 [Updated 2014 Dec 18]. In: </w:t>
      </w:r>
      <w:proofErr w:type="spellStart"/>
      <w:r w:rsidRPr="00D26A0D">
        <w:rPr>
          <w:sz w:val="18"/>
          <w:szCs w:val="18"/>
        </w:rPr>
        <w:t>Pagon</w:t>
      </w:r>
      <w:proofErr w:type="spellEnd"/>
      <w:r w:rsidRPr="00D26A0D">
        <w:rPr>
          <w:sz w:val="18"/>
          <w:szCs w:val="18"/>
        </w:rPr>
        <w:t xml:space="preserve"> RA, Adam MP, </w:t>
      </w:r>
      <w:proofErr w:type="spellStart"/>
      <w:r w:rsidRPr="00D26A0D">
        <w:rPr>
          <w:sz w:val="18"/>
          <w:szCs w:val="18"/>
        </w:rPr>
        <w:t>Ardinger</w:t>
      </w:r>
      <w:proofErr w:type="spellEnd"/>
      <w:r w:rsidRPr="00D26A0D">
        <w:rPr>
          <w:sz w:val="18"/>
          <w:szCs w:val="18"/>
        </w:rPr>
        <w:t xml:space="preserve"> HH, et al., editors. </w:t>
      </w:r>
      <w:proofErr w:type="spellStart"/>
      <w:r w:rsidRPr="00D26A0D">
        <w:rPr>
          <w:sz w:val="18"/>
          <w:szCs w:val="18"/>
        </w:rPr>
        <w:t>GeneReviews</w:t>
      </w:r>
      <w:proofErr w:type="spellEnd"/>
      <w:r w:rsidRPr="00D26A0D">
        <w:rPr>
          <w:sz w:val="18"/>
          <w:szCs w:val="18"/>
        </w:rPr>
        <w:t xml:space="preserve">® [Internet]. Seattle (WA): University of Washington, Seattle; 1993-2017. Available from: </w:t>
      </w:r>
      <w:hyperlink r:id="rId6" w:history="1">
        <w:r w:rsidRPr="00D26A0D">
          <w:rPr>
            <w:rStyle w:val="Hyperlink"/>
            <w:sz w:val="18"/>
            <w:szCs w:val="18"/>
          </w:rPr>
          <w:t>https://www.ncbi.nlm.nih.gov/books/NBK26471/</w:t>
        </w:r>
      </w:hyperlink>
    </w:p>
    <w:p w:rsidR="00D26A0D" w:rsidRPr="00D26A0D" w:rsidRDefault="00D26A0D" w:rsidP="00D26A0D">
      <w:pPr>
        <w:numPr>
          <w:ilvl w:val="0"/>
          <w:numId w:val="10"/>
        </w:numPr>
        <w:rPr>
          <w:sz w:val="18"/>
          <w:szCs w:val="18"/>
        </w:rPr>
      </w:pPr>
      <w:proofErr w:type="spellStart"/>
      <w:r w:rsidRPr="00D26A0D">
        <w:rPr>
          <w:sz w:val="18"/>
          <w:szCs w:val="18"/>
        </w:rPr>
        <w:t>Gospe</w:t>
      </w:r>
      <w:proofErr w:type="spellEnd"/>
      <w:r w:rsidRPr="00D26A0D">
        <w:rPr>
          <w:sz w:val="18"/>
          <w:szCs w:val="18"/>
        </w:rPr>
        <w:t xml:space="preserve"> SM Jr. Pyridoxine-Dependent Epilepsy. 2001 Dec 7 [Updated 2017 Apr 13]. In: </w:t>
      </w:r>
      <w:proofErr w:type="spellStart"/>
      <w:r w:rsidRPr="00D26A0D">
        <w:rPr>
          <w:sz w:val="18"/>
          <w:szCs w:val="18"/>
        </w:rPr>
        <w:t>Pagon</w:t>
      </w:r>
      <w:proofErr w:type="spellEnd"/>
      <w:r w:rsidRPr="00D26A0D">
        <w:rPr>
          <w:sz w:val="18"/>
          <w:szCs w:val="18"/>
        </w:rPr>
        <w:t xml:space="preserve"> RA, Adam MP, </w:t>
      </w:r>
      <w:proofErr w:type="spellStart"/>
      <w:r w:rsidRPr="00D26A0D">
        <w:rPr>
          <w:sz w:val="18"/>
          <w:szCs w:val="18"/>
        </w:rPr>
        <w:t>Ardinger</w:t>
      </w:r>
      <w:proofErr w:type="spellEnd"/>
      <w:r w:rsidRPr="00D26A0D">
        <w:rPr>
          <w:sz w:val="18"/>
          <w:szCs w:val="18"/>
        </w:rPr>
        <w:t xml:space="preserve"> HH, et al., editors. </w:t>
      </w:r>
      <w:proofErr w:type="spellStart"/>
      <w:r w:rsidRPr="00D26A0D">
        <w:rPr>
          <w:sz w:val="18"/>
          <w:szCs w:val="18"/>
        </w:rPr>
        <w:t>GeneReviews</w:t>
      </w:r>
      <w:proofErr w:type="spellEnd"/>
      <w:r w:rsidRPr="00D26A0D">
        <w:rPr>
          <w:sz w:val="18"/>
          <w:szCs w:val="18"/>
        </w:rPr>
        <w:t xml:space="preserve">® [Internet]. Seattle (WA): University of Washington, Seattle; 1993-2017. Available from: </w:t>
      </w:r>
      <w:hyperlink r:id="rId7" w:history="1">
        <w:r w:rsidRPr="00D26A0D">
          <w:rPr>
            <w:rStyle w:val="Hyperlink"/>
            <w:sz w:val="18"/>
            <w:szCs w:val="18"/>
          </w:rPr>
          <w:t>https://www.ncbi.nlm.nih.gov/books/NBK1486/</w:t>
        </w:r>
      </w:hyperlink>
    </w:p>
    <w:p w:rsidR="00D26A0D" w:rsidRPr="00D26A0D" w:rsidRDefault="00D26A0D" w:rsidP="00D26A0D">
      <w:pPr>
        <w:numPr>
          <w:ilvl w:val="0"/>
          <w:numId w:val="10"/>
        </w:numPr>
        <w:rPr>
          <w:sz w:val="18"/>
          <w:szCs w:val="18"/>
        </w:rPr>
      </w:pPr>
      <w:r w:rsidRPr="00D26A0D">
        <w:rPr>
          <w:sz w:val="18"/>
          <w:szCs w:val="18"/>
        </w:rPr>
        <w:lastRenderedPageBreak/>
        <w:t xml:space="preserve">Wang D, </w:t>
      </w:r>
      <w:proofErr w:type="spellStart"/>
      <w:r w:rsidRPr="00D26A0D">
        <w:rPr>
          <w:sz w:val="18"/>
          <w:szCs w:val="18"/>
        </w:rPr>
        <w:t>Pascual</w:t>
      </w:r>
      <w:proofErr w:type="spellEnd"/>
      <w:r w:rsidRPr="00D26A0D">
        <w:rPr>
          <w:sz w:val="18"/>
          <w:szCs w:val="18"/>
        </w:rPr>
        <w:t xml:space="preserve"> JM, De Vivo D. Glucose Transporter Type 1 Deficiency Syndrome. 2002 Jul 30 [Updated 2015 Jan 22]. In: </w:t>
      </w:r>
      <w:proofErr w:type="spellStart"/>
      <w:r w:rsidRPr="00D26A0D">
        <w:rPr>
          <w:sz w:val="18"/>
          <w:szCs w:val="18"/>
        </w:rPr>
        <w:t>Pagon</w:t>
      </w:r>
      <w:proofErr w:type="spellEnd"/>
      <w:r w:rsidRPr="00D26A0D">
        <w:rPr>
          <w:sz w:val="18"/>
          <w:szCs w:val="18"/>
        </w:rPr>
        <w:t xml:space="preserve"> RA, Adam MP, </w:t>
      </w:r>
      <w:proofErr w:type="spellStart"/>
      <w:r w:rsidRPr="00D26A0D">
        <w:rPr>
          <w:sz w:val="18"/>
          <w:szCs w:val="18"/>
        </w:rPr>
        <w:t>Ardinger</w:t>
      </w:r>
      <w:proofErr w:type="spellEnd"/>
      <w:r w:rsidRPr="00D26A0D">
        <w:rPr>
          <w:sz w:val="18"/>
          <w:szCs w:val="18"/>
        </w:rPr>
        <w:t xml:space="preserve"> HH, et al., editors. </w:t>
      </w:r>
      <w:proofErr w:type="spellStart"/>
      <w:r w:rsidRPr="00D26A0D">
        <w:rPr>
          <w:sz w:val="18"/>
          <w:szCs w:val="18"/>
        </w:rPr>
        <w:t>GeneReviews</w:t>
      </w:r>
      <w:proofErr w:type="spellEnd"/>
      <w:r w:rsidRPr="00D26A0D">
        <w:rPr>
          <w:sz w:val="18"/>
          <w:szCs w:val="18"/>
        </w:rPr>
        <w:t xml:space="preserve">® [Internet]. Seattle (WA): University of Washington, Seattle; 1993-2017. Available from: </w:t>
      </w:r>
      <w:hyperlink r:id="rId8" w:history="1">
        <w:r w:rsidRPr="00D26A0D">
          <w:rPr>
            <w:rStyle w:val="Hyperlink"/>
            <w:sz w:val="18"/>
            <w:szCs w:val="18"/>
          </w:rPr>
          <w:t>https://www.ncbi.nlm.nih.gov/books/NBK1430/</w:t>
        </w:r>
      </w:hyperlink>
    </w:p>
    <w:p w:rsidR="00D26A0D" w:rsidRPr="00D26A0D" w:rsidRDefault="00D26A0D" w:rsidP="00D26A0D">
      <w:pPr>
        <w:numPr>
          <w:ilvl w:val="0"/>
          <w:numId w:val="10"/>
        </w:numPr>
        <w:rPr>
          <w:sz w:val="18"/>
          <w:szCs w:val="18"/>
        </w:rPr>
      </w:pPr>
      <w:r w:rsidRPr="00D26A0D">
        <w:rPr>
          <w:sz w:val="18"/>
          <w:szCs w:val="18"/>
        </w:rPr>
        <w:t xml:space="preserve">Hammer MF, </w:t>
      </w:r>
      <w:proofErr w:type="spellStart"/>
      <w:r w:rsidRPr="00D26A0D">
        <w:rPr>
          <w:sz w:val="18"/>
          <w:szCs w:val="18"/>
        </w:rPr>
        <w:t>Wagnon</w:t>
      </w:r>
      <w:proofErr w:type="spellEnd"/>
      <w:r w:rsidRPr="00D26A0D">
        <w:rPr>
          <w:sz w:val="18"/>
          <w:szCs w:val="18"/>
        </w:rPr>
        <w:t xml:space="preserve"> JL, </w:t>
      </w:r>
      <w:proofErr w:type="spellStart"/>
      <w:r w:rsidRPr="00D26A0D">
        <w:rPr>
          <w:sz w:val="18"/>
          <w:szCs w:val="18"/>
        </w:rPr>
        <w:t>Mefford</w:t>
      </w:r>
      <w:proofErr w:type="spellEnd"/>
      <w:r w:rsidRPr="00D26A0D">
        <w:rPr>
          <w:sz w:val="18"/>
          <w:szCs w:val="18"/>
        </w:rPr>
        <w:t xml:space="preserve"> HC, et al. SCN8A-Related Epilepsy with Encephalopathy. 2016 Aug 25. In: </w:t>
      </w:r>
      <w:proofErr w:type="spellStart"/>
      <w:r w:rsidRPr="00D26A0D">
        <w:rPr>
          <w:sz w:val="18"/>
          <w:szCs w:val="18"/>
        </w:rPr>
        <w:t>Pagon</w:t>
      </w:r>
      <w:proofErr w:type="spellEnd"/>
      <w:r w:rsidRPr="00D26A0D">
        <w:rPr>
          <w:sz w:val="18"/>
          <w:szCs w:val="18"/>
        </w:rPr>
        <w:t xml:space="preserve"> RA, Adam MP, </w:t>
      </w:r>
      <w:proofErr w:type="spellStart"/>
      <w:r w:rsidRPr="00D26A0D">
        <w:rPr>
          <w:sz w:val="18"/>
          <w:szCs w:val="18"/>
        </w:rPr>
        <w:t>Ardinger</w:t>
      </w:r>
      <w:proofErr w:type="spellEnd"/>
      <w:r w:rsidRPr="00D26A0D">
        <w:rPr>
          <w:sz w:val="18"/>
          <w:szCs w:val="18"/>
        </w:rPr>
        <w:t xml:space="preserve"> HH, et al., editors. </w:t>
      </w:r>
      <w:proofErr w:type="spellStart"/>
      <w:r w:rsidRPr="00D26A0D">
        <w:rPr>
          <w:sz w:val="18"/>
          <w:szCs w:val="18"/>
        </w:rPr>
        <w:t>GeneReviews</w:t>
      </w:r>
      <w:proofErr w:type="spellEnd"/>
      <w:r w:rsidRPr="00D26A0D">
        <w:rPr>
          <w:sz w:val="18"/>
          <w:szCs w:val="18"/>
        </w:rPr>
        <w:t xml:space="preserve">® [Internet]. Seattle (WA): University of Washington, Seattle; 1993-2017. Available from: </w:t>
      </w:r>
      <w:hyperlink r:id="rId9" w:history="1">
        <w:r w:rsidRPr="00D26A0D">
          <w:rPr>
            <w:rStyle w:val="Hyperlink"/>
            <w:sz w:val="18"/>
            <w:szCs w:val="18"/>
          </w:rPr>
          <w:t>https://www.ncbi.nlm.nih.gov/books/NBK379665/</w:t>
        </w:r>
      </w:hyperlink>
    </w:p>
    <w:p w:rsidR="00D26A0D" w:rsidRPr="00D26A0D" w:rsidRDefault="00D26A0D" w:rsidP="00D26A0D">
      <w:pPr>
        <w:numPr>
          <w:ilvl w:val="0"/>
          <w:numId w:val="10"/>
        </w:numPr>
        <w:rPr>
          <w:sz w:val="18"/>
          <w:szCs w:val="18"/>
        </w:rPr>
      </w:pPr>
      <w:r w:rsidRPr="00D26A0D">
        <w:rPr>
          <w:sz w:val="18"/>
          <w:szCs w:val="18"/>
        </w:rPr>
        <w:t xml:space="preserve">Milligan et al. (2014) KCNT1 gain of function in 2 epilepsy phenotypes is reversed by quinidine.  </w:t>
      </w:r>
      <w:r w:rsidRPr="00D26A0D">
        <w:rPr>
          <w:i/>
          <w:sz w:val="18"/>
          <w:szCs w:val="18"/>
        </w:rPr>
        <w:t>Annals Of Neurology</w:t>
      </w:r>
      <w:r w:rsidRPr="00D26A0D">
        <w:rPr>
          <w:sz w:val="18"/>
          <w:szCs w:val="18"/>
        </w:rPr>
        <w:t xml:space="preserve"> 75 (4):581-90 (PMID: 24591078)</w:t>
      </w:r>
    </w:p>
    <w:p w:rsidR="00D26A0D" w:rsidRPr="00D26A0D" w:rsidRDefault="00D26A0D" w:rsidP="00D26A0D">
      <w:pPr>
        <w:numPr>
          <w:ilvl w:val="0"/>
          <w:numId w:val="10"/>
        </w:numPr>
        <w:rPr>
          <w:sz w:val="18"/>
          <w:szCs w:val="18"/>
        </w:rPr>
      </w:pPr>
      <w:proofErr w:type="spellStart"/>
      <w:r w:rsidRPr="00D26A0D">
        <w:rPr>
          <w:sz w:val="18"/>
          <w:szCs w:val="18"/>
        </w:rPr>
        <w:t>Gospe</w:t>
      </w:r>
      <w:proofErr w:type="spellEnd"/>
      <w:r w:rsidRPr="00D26A0D">
        <w:rPr>
          <w:sz w:val="18"/>
          <w:szCs w:val="18"/>
        </w:rPr>
        <w:t xml:space="preserve"> et al., (2010) Neonatal vitamin-responsive epileptic encephalopathies. </w:t>
      </w:r>
      <w:r w:rsidRPr="00D26A0D">
        <w:rPr>
          <w:i/>
          <w:sz w:val="18"/>
          <w:szCs w:val="18"/>
        </w:rPr>
        <w:t xml:space="preserve">Chang Gung Med </w:t>
      </w:r>
      <w:r w:rsidRPr="00D26A0D">
        <w:rPr>
          <w:sz w:val="18"/>
          <w:szCs w:val="18"/>
        </w:rPr>
        <w:t>33:1-12.</w:t>
      </w:r>
    </w:p>
    <w:p w:rsidR="00D26A0D" w:rsidRPr="00D26A0D" w:rsidRDefault="00D26A0D" w:rsidP="00D26A0D">
      <w:pPr>
        <w:numPr>
          <w:ilvl w:val="0"/>
          <w:numId w:val="10"/>
        </w:numPr>
        <w:rPr>
          <w:sz w:val="18"/>
          <w:szCs w:val="18"/>
        </w:rPr>
      </w:pPr>
      <w:proofErr w:type="spellStart"/>
      <w:r w:rsidRPr="00D26A0D">
        <w:rPr>
          <w:sz w:val="18"/>
          <w:szCs w:val="18"/>
        </w:rPr>
        <w:t>Grapp</w:t>
      </w:r>
      <w:proofErr w:type="spellEnd"/>
      <w:r w:rsidRPr="00D26A0D">
        <w:rPr>
          <w:sz w:val="18"/>
          <w:szCs w:val="18"/>
        </w:rPr>
        <w:t xml:space="preserve"> et al., (2012) Molecular characterization of folate receptor 1 mutations delineates cerebral folate transport deficiency. </w:t>
      </w:r>
      <w:r w:rsidRPr="00D26A0D">
        <w:rPr>
          <w:i/>
          <w:sz w:val="18"/>
          <w:szCs w:val="18"/>
        </w:rPr>
        <w:t>Brain</w:t>
      </w:r>
      <w:r w:rsidRPr="00D26A0D">
        <w:rPr>
          <w:sz w:val="18"/>
          <w:szCs w:val="18"/>
        </w:rPr>
        <w:t xml:space="preserve"> 135:2022-2031.</w:t>
      </w:r>
    </w:p>
    <w:p w:rsidR="00D26A0D" w:rsidRPr="00D26A0D" w:rsidRDefault="00D26A0D" w:rsidP="00D26A0D">
      <w:pPr>
        <w:numPr>
          <w:ilvl w:val="0"/>
          <w:numId w:val="10"/>
        </w:numPr>
        <w:rPr>
          <w:sz w:val="18"/>
          <w:szCs w:val="18"/>
        </w:rPr>
      </w:pPr>
      <w:proofErr w:type="spellStart"/>
      <w:r w:rsidRPr="00D26A0D">
        <w:rPr>
          <w:sz w:val="18"/>
          <w:szCs w:val="18"/>
        </w:rPr>
        <w:t>Braissant</w:t>
      </w:r>
      <w:proofErr w:type="spellEnd"/>
      <w:r w:rsidRPr="00D26A0D">
        <w:rPr>
          <w:sz w:val="18"/>
          <w:szCs w:val="18"/>
        </w:rPr>
        <w:t xml:space="preserve"> et al., (2011) </w:t>
      </w:r>
      <w:proofErr w:type="spellStart"/>
      <w:r w:rsidRPr="00D26A0D">
        <w:rPr>
          <w:sz w:val="18"/>
          <w:szCs w:val="18"/>
        </w:rPr>
        <w:t>Creatine</w:t>
      </w:r>
      <w:proofErr w:type="spellEnd"/>
      <w:r w:rsidRPr="00D26A0D">
        <w:rPr>
          <w:sz w:val="18"/>
          <w:szCs w:val="18"/>
        </w:rPr>
        <w:t xml:space="preserve"> deficiency syndromes and the importance of </w:t>
      </w:r>
      <w:proofErr w:type="spellStart"/>
      <w:r w:rsidRPr="00D26A0D">
        <w:rPr>
          <w:sz w:val="18"/>
          <w:szCs w:val="18"/>
        </w:rPr>
        <w:t>creatine</w:t>
      </w:r>
      <w:proofErr w:type="spellEnd"/>
      <w:r w:rsidRPr="00D26A0D">
        <w:rPr>
          <w:sz w:val="18"/>
          <w:szCs w:val="18"/>
        </w:rPr>
        <w:t xml:space="preserve"> synthesis in the brain.  </w:t>
      </w:r>
      <w:r w:rsidRPr="00D26A0D">
        <w:rPr>
          <w:i/>
          <w:sz w:val="18"/>
          <w:szCs w:val="18"/>
        </w:rPr>
        <w:t>Amino Acids</w:t>
      </w:r>
      <w:r w:rsidRPr="00D26A0D">
        <w:rPr>
          <w:sz w:val="18"/>
          <w:szCs w:val="18"/>
        </w:rPr>
        <w:t xml:space="preserve"> 40:1315-1324.</w:t>
      </w:r>
    </w:p>
    <w:p w:rsidR="00D26A0D" w:rsidRPr="00D26A0D" w:rsidRDefault="00D26A0D" w:rsidP="00454799">
      <w:pPr>
        <w:numPr>
          <w:ilvl w:val="0"/>
          <w:numId w:val="10"/>
        </w:numPr>
        <w:rPr>
          <w:sz w:val="18"/>
          <w:szCs w:val="18"/>
        </w:rPr>
      </w:pPr>
      <w:proofErr w:type="spellStart"/>
      <w:r w:rsidRPr="00D26A0D">
        <w:rPr>
          <w:sz w:val="18"/>
          <w:szCs w:val="18"/>
        </w:rPr>
        <w:t>Ortigoza</w:t>
      </w:r>
      <w:proofErr w:type="spellEnd"/>
      <w:r w:rsidRPr="00D26A0D">
        <w:rPr>
          <w:sz w:val="18"/>
          <w:szCs w:val="18"/>
        </w:rPr>
        <w:t>-Escobar et al. (2017) Thiamine deficiency in childhood with attention to genetic causes: Survival and outcome predictors. Ann. Neurol. 82 (3):317-330</w:t>
      </w:r>
    </w:p>
    <w:sectPr w:rsidR="00D26A0D" w:rsidRPr="00D26A0D" w:rsidSect="00AB2F4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A79A9"/>
    <w:multiLevelType w:val="hybridMultilevel"/>
    <w:tmpl w:val="251C19B4"/>
    <w:lvl w:ilvl="0" w:tplc="2E16868C">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36B55"/>
    <w:multiLevelType w:val="hybridMultilevel"/>
    <w:tmpl w:val="D2E0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21D97"/>
    <w:multiLevelType w:val="hybridMultilevel"/>
    <w:tmpl w:val="86A27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927BFC"/>
    <w:multiLevelType w:val="hybridMultilevel"/>
    <w:tmpl w:val="6E9E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8269C"/>
    <w:multiLevelType w:val="hybridMultilevel"/>
    <w:tmpl w:val="F218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94533"/>
    <w:multiLevelType w:val="hybridMultilevel"/>
    <w:tmpl w:val="AFB428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FEF3C70"/>
    <w:multiLevelType w:val="hybridMultilevel"/>
    <w:tmpl w:val="B90E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12427B"/>
    <w:multiLevelType w:val="hybridMultilevel"/>
    <w:tmpl w:val="71BA6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1373E"/>
    <w:multiLevelType w:val="hybridMultilevel"/>
    <w:tmpl w:val="2796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07767"/>
    <w:multiLevelType w:val="hybridMultilevel"/>
    <w:tmpl w:val="0AD8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5"/>
  </w:num>
  <w:num w:numId="5">
    <w:abstractNumId w:val="4"/>
  </w:num>
  <w:num w:numId="6">
    <w:abstractNumId w:val="9"/>
  </w:num>
  <w:num w:numId="7">
    <w:abstractNumId w:val="3"/>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US"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A6"/>
    <w:rsid w:val="000B50A3"/>
    <w:rsid w:val="000D05E6"/>
    <w:rsid w:val="000E13FB"/>
    <w:rsid w:val="001109B6"/>
    <w:rsid w:val="00150F55"/>
    <w:rsid w:val="00204100"/>
    <w:rsid w:val="00205DB4"/>
    <w:rsid w:val="002414B7"/>
    <w:rsid w:val="00253146"/>
    <w:rsid w:val="00295536"/>
    <w:rsid w:val="002A7478"/>
    <w:rsid w:val="002D0B92"/>
    <w:rsid w:val="00301F9D"/>
    <w:rsid w:val="00342070"/>
    <w:rsid w:val="003D0EA6"/>
    <w:rsid w:val="003E2CA8"/>
    <w:rsid w:val="00433DFB"/>
    <w:rsid w:val="00454799"/>
    <w:rsid w:val="00465837"/>
    <w:rsid w:val="004978D4"/>
    <w:rsid w:val="00535623"/>
    <w:rsid w:val="00543EEA"/>
    <w:rsid w:val="005B76FB"/>
    <w:rsid w:val="006337EC"/>
    <w:rsid w:val="0064562A"/>
    <w:rsid w:val="00652804"/>
    <w:rsid w:val="00653661"/>
    <w:rsid w:val="0071491F"/>
    <w:rsid w:val="0073022E"/>
    <w:rsid w:val="00776731"/>
    <w:rsid w:val="00855940"/>
    <w:rsid w:val="008569AB"/>
    <w:rsid w:val="008706C4"/>
    <w:rsid w:val="00887B41"/>
    <w:rsid w:val="008E7C39"/>
    <w:rsid w:val="008F5DB6"/>
    <w:rsid w:val="00900219"/>
    <w:rsid w:val="00921AF4"/>
    <w:rsid w:val="00AB2F4A"/>
    <w:rsid w:val="00B27690"/>
    <w:rsid w:val="00B374A4"/>
    <w:rsid w:val="00B82599"/>
    <w:rsid w:val="00BE244D"/>
    <w:rsid w:val="00C247D1"/>
    <w:rsid w:val="00D17422"/>
    <w:rsid w:val="00D26A0D"/>
    <w:rsid w:val="00D66DD8"/>
    <w:rsid w:val="00DA779B"/>
    <w:rsid w:val="00DB3B6E"/>
    <w:rsid w:val="00DB690F"/>
    <w:rsid w:val="00DE6040"/>
    <w:rsid w:val="00E04C9D"/>
    <w:rsid w:val="00ED14F6"/>
    <w:rsid w:val="00F1597A"/>
    <w:rsid w:val="00F339A7"/>
    <w:rsid w:val="00F74480"/>
    <w:rsid w:val="00F9401A"/>
    <w:rsid w:val="00FB3BE6"/>
    <w:rsid w:val="00FB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095E7-3817-4318-B43D-24CE7CC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EA6"/>
    <w:pPr>
      <w:spacing w:after="0" w:line="240" w:lineRule="auto"/>
    </w:pPr>
  </w:style>
  <w:style w:type="paragraph" w:styleId="ListParagraph">
    <w:name w:val="List Paragraph"/>
    <w:basedOn w:val="Normal"/>
    <w:uiPriority w:val="34"/>
    <w:qFormat/>
    <w:rsid w:val="00653661"/>
    <w:pPr>
      <w:ind w:left="720"/>
      <w:contextualSpacing/>
    </w:pPr>
  </w:style>
  <w:style w:type="paragraph" w:styleId="BalloonText">
    <w:name w:val="Balloon Text"/>
    <w:basedOn w:val="Normal"/>
    <w:link w:val="BalloonTextChar"/>
    <w:uiPriority w:val="99"/>
    <w:semiHidden/>
    <w:unhideWhenUsed/>
    <w:rsid w:val="002A7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478"/>
    <w:rPr>
      <w:rFonts w:ascii="Segoe UI" w:hAnsi="Segoe UI" w:cs="Segoe UI"/>
      <w:sz w:val="18"/>
      <w:szCs w:val="18"/>
    </w:rPr>
  </w:style>
  <w:style w:type="character" w:styleId="CommentReference">
    <w:name w:val="annotation reference"/>
    <w:basedOn w:val="DefaultParagraphFont"/>
    <w:uiPriority w:val="99"/>
    <w:semiHidden/>
    <w:unhideWhenUsed/>
    <w:rsid w:val="000B50A3"/>
    <w:rPr>
      <w:sz w:val="16"/>
      <w:szCs w:val="16"/>
    </w:rPr>
  </w:style>
  <w:style w:type="paragraph" w:styleId="CommentText">
    <w:name w:val="annotation text"/>
    <w:basedOn w:val="Normal"/>
    <w:link w:val="CommentTextChar"/>
    <w:uiPriority w:val="99"/>
    <w:semiHidden/>
    <w:unhideWhenUsed/>
    <w:rsid w:val="000B50A3"/>
    <w:pPr>
      <w:spacing w:line="240" w:lineRule="auto"/>
    </w:pPr>
    <w:rPr>
      <w:sz w:val="20"/>
      <w:szCs w:val="20"/>
    </w:rPr>
  </w:style>
  <w:style w:type="character" w:customStyle="1" w:styleId="CommentTextChar">
    <w:name w:val="Comment Text Char"/>
    <w:basedOn w:val="DefaultParagraphFont"/>
    <w:link w:val="CommentText"/>
    <w:uiPriority w:val="99"/>
    <w:semiHidden/>
    <w:rsid w:val="000B50A3"/>
    <w:rPr>
      <w:sz w:val="20"/>
      <w:szCs w:val="20"/>
    </w:rPr>
  </w:style>
  <w:style w:type="paragraph" w:styleId="CommentSubject">
    <w:name w:val="annotation subject"/>
    <w:basedOn w:val="CommentText"/>
    <w:next w:val="CommentText"/>
    <w:link w:val="CommentSubjectChar"/>
    <w:uiPriority w:val="99"/>
    <w:semiHidden/>
    <w:unhideWhenUsed/>
    <w:rsid w:val="000B50A3"/>
    <w:rPr>
      <w:b/>
      <w:bCs/>
    </w:rPr>
  </w:style>
  <w:style w:type="character" w:customStyle="1" w:styleId="CommentSubjectChar">
    <w:name w:val="Comment Subject Char"/>
    <w:basedOn w:val="CommentTextChar"/>
    <w:link w:val="CommentSubject"/>
    <w:uiPriority w:val="99"/>
    <w:semiHidden/>
    <w:rsid w:val="000B50A3"/>
    <w:rPr>
      <w:b/>
      <w:bCs/>
      <w:sz w:val="20"/>
      <w:szCs w:val="20"/>
    </w:rPr>
  </w:style>
  <w:style w:type="paragraph" w:styleId="Revision">
    <w:name w:val="Revision"/>
    <w:hidden/>
    <w:uiPriority w:val="99"/>
    <w:semiHidden/>
    <w:rsid w:val="00D66DD8"/>
    <w:pPr>
      <w:spacing w:after="0" w:line="240" w:lineRule="auto"/>
    </w:pPr>
  </w:style>
  <w:style w:type="character" w:styleId="Hyperlink">
    <w:name w:val="Hyperlink"/>
    <w:basedOn w:val="DefaultParagraphFont"/>
    <w:uiPriority w:val="99"/>
    <w:unhideWhenUsed/>
    <w:rsid w:val="00D26A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447709">
      <w:bodyDiv w:val="1"/>
      <w:marLeft w:val="0"/>
      <w:marRight w:val="0"/>
      <w:marTop w:val="0"/>
      <w:marBottom w:val="0"/>
      <w:divBdr>
        <w:top w:val="none" w:sz="0" w:space="0" w:color="auto"/>
        <w:left w:val="none" w:sz="0" w:space="0" w:color="auto"/>
        <w:bottom w:val="none" w:sz="0" w:space="0" w:color="auto"/>
        <w:right w:val="none" w:sz="0" w:space="0" w:color="auto"/>
      </w:divBdr>
    </w:div>
    <w:div w:id="702248718">
      <w:bodyDiv w:val="1"/>
      <w:marLeft w:val="0"/>
      <w:marRight w:val="0"/>
      <w:marTop w:val="0"/>
      <w:marBottom w:val="0"/>
      <w:divBdr>
        <w:top w:val="none" w:sz="0" w:space="0" w:color="auto"/>
        <w:left w:val="none" w:sz="0" w:space="0" w:color="auto"/>
        <w:bottom w:val="none" w:sz="0" w:space="0" w:color="auto"/>
        <w:right w:val="none" w:sz="0" w:space="0" w:color="auto"/>
      </w:divBdr>
    </w:div>
    <w:div w:id="1187598186">
      <w:bodyDiv w:val="1"/>
      <w:marLeft w:val="0"/>
      <w:marRight w:val="0"/>
      <w:marTop w:val="0"/>
      <w:marBottom w:val="0"/>
      <w:divBdr>
        <w:top w:val="none" w:sz="0" w:space="0" w:color="auto"/>
        <w:left w:val="none" w:sz="0" w:space="0" w:color="auto"/>
        <w:bottom w:val="none" w:sz="0" w:space="0" w:color="auto"/>
        <w:right w:val="none" w:sz="0" w:space="0" w:color="auto"/>
      </w:divBdr>
      <w:divsChild>
        <w:div w:id="1366099847">
          <w:marLeft w:val="0"/>
          <w:marRight w:val="0"/>
          <w:marTop w:val="0"/>
          <w:marBottom w:val="0"/>
          <w:divBdr>
            <w:top w:val="none" w:sz="0" w:space="0" w:color="auto"/>
            <w:left w:val="none" w:sz="0" w:space="0" w:color="auto"/>
            <w:bottom w:val="none" w:sz="0" w:space="0" w:color="auto"/>
            <w:right w:val="none" w:sz="0" w:space="0" w:color="auto"/>
          </w:divBdr>
        </w:div>
      </w:divsChild>
    </w:div>
    <w:div w:id="1217931051">
      <w:bodyDiv w:val="1"/>
      <w:marLeft w:val="0"/>
      <w:marRight w:val="0"/>
      <w:marTop w:val="0"/>
      <w:marBottom w:val="0"/>
      <w:divBdr>
        <w:top w:val="none" w:sz="0" w:space="0" w:color="auto"/>
        <w:left w:val="none" w:sz="0" w:space="0" w:color="auto"/>
        <w:bottom w:val="none" w:sz="0" w:space="0" w:color="auto"/>
        <w:right w:val="none" w:sz="0" w:space="0" w:color="auto"/>
      </w:divBdr>
    </w:div>
    <w:div w:id="1462067154">
      <w:bodyDiv w:val="1"/>
      <w:marLeft w:val="0"/>
      <w:marRight w:val="0"/>
      <w:marTop w:val="0"/>
      <w:marBottom w:val="0"/>
      <w:divBdr>
        <w:top w:val="none" w:sz="0" w:space="0" w:color="auto"/>
        <w:left w:val="none" w:sz="0" w:space="0" w:color="auto"/>
        <w:bottom w:val="none" w:sz="0" w:space="0" w:color="auto"/>
        <w:right w:val="none" w:sz="0" w:space="0" w:color="auto"/>
      </w:divBdr>
    </w:div>
    <w:div w:id="15043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1430/" TargetMode="External"/><Relationship Id="rId3" Type="http://schemas.openxmlformats.org/officeDocument/2006/relationships/settings" Target="settings.xml"/><Relationship Id="rId7" Type="http://schemas.openxmlformats.org/officeDocument/2006/relationships/hyperlink" Target="https://www.ncbi.nlm.nih.gov/books/NBK14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books/NBK26471/" TargetMode="External"/><Relationship Id="rId11" Type="http://schemas.openxmlformats.org/officeDocument/2006/relationships/theme" Target="theme/theme1.xml"/><Relationship Id="rId5" Type="http://schemas.openxmlformats.org/officeDocument/2006/relationships/hyperlink" Target="https://www.ncbi.nlm.nih.gov/books/NBK131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books/NBK3796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BioReference Laboratories Inc.</Company>
  <LinksUpToDate>false</LinksUpToDate>
  <CharactersWithSpaces>10417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Klein</dc:creator>
  <cp:keywords/>
  <dc:description/>
  <cp:lastModifiedBy>Raymond Jubela</cp:lastModifiedBy>
  <cp:revision>2</cp:revision>
  <dcterms:created xsi:type="dcterms:W3CDTF">2019-12-31T19:17:00Z</dcterms:created>
  <dcterms:modified xsi:type="dcterms:W3CDTF">2019-12-31T19:17:00Z</dcterms:modified>
</cp:coreProperties>
</file>