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6" w:rsidRPr="00205DB4" w:rsidRDefault="003D0EA6" w:rsidP="00205DB4">
      <w:pPr>
        <w:pStyle w:val="NoSpacing"/>
        <w:jc w:val="center"/>
        <w:rPr>
          <w:b/>
        </w:rPr>
      </w:pPr>
      <w:bookmarkStart w:id="0" w:name="_GoBack"/>
      <w:bookmarkEnd w:id="0"/>
      <w:r w:rsidRPr="00205DB4">
        <w:rPr>
          <w:b/>
        </w:rPr>
        <w:t>Letter of Medical Necessi</w:t>
      </w:r>
      <w:r w:rsidR="00942600">
        <w:rPr>
          <w:b/>
        </w:rPr>
        <w:t xml:space="preserve">ty for the </w:t>
      </w:r>
      <w:r w:rsidR="00942600" w:rsidRPr="00942600">
        <w:rPr>
          <w:b/>
        </w:rPr>
        <w:t>Arrhythmia Panel</w:t>
      </w:r>
    </w:p>
    <w:p w:rsidR="00AB2F4A" w:rsidRPr="00AB2F4A" w:rsidRDefault="00AB2F4A" w:rsidP="00AB2F4A">
      <w:pPr>
        <w:pStyle w:val="NoSpacing"/>
        <w:rPr>
          <w:color w:val="FF0000"/>
        </w:rPr>
      </w:pPr>
    </w:p>
    <w:p w:rsidR="00AB2F4A" w:rsidRDefault="00AB2F4A" w:rsidP="00AB2F4A">
      <w:pPr>
        <w:pStyle w:val="NoSpacing"/>
        <w:rPr>
          <w:color w:val="FF0000"/>
        </w:rPr>
      </w:pPr>
    </w:p>
    <w:p w:rsidR="00205DB4" w:rsidRPr="00AB2F4A" w:rsidRDefault="00205DB4" w:rsidP="00AB2F4A">
      <w:pPr>
        <w:pStyle w:val="NoSpacing"/>
        <w:rPr>
          <w:color w:val="FF0000"/>
        </w:rPr>
        <w:sectPr w:rsidR="00205DB4" w:rsidRPr="00AB2F4A">
          <w:pgSz w:w="12240" w:h="15840"/>
          <w:pgMar w:top="1440" w:right="1440" w:bottom="1440" w:left="1440" w:header="720" w:footer="720" w:gutter="0"/>
          <w:cols w:space="720"/>
          <w:docGrid w:linePitch="360"/>
        </w:sectPr>
      </w:pPr>
    </w:p>
    <w:p w:rsidR="00253146" w:rsidRPr="00253146" w:rsidRDefault="00253146" w:rsidP="00AB2F4A">
      <w:pPr>
        <w:pStyle w:val="NoSpacing"/>
        <w:rPr>
          <w:b/>
          <w:u w:val="single"/>
        </w:rPr>
      </w:pPr>
      <w:r w:rsidRPr="00253146">
        <w:rPr>
          <w:b/>
          <w:u w:val="single"/>
        </w:rPr>
        <w:t>Patient Information</w:t>
      </w:r>
    </w:p>
    <w:p w:rsidR="003D0EA6" w:rsidRPr="00253146" w:rsidRDefault="003D0EA6" w:rsidP="00AB2F4A">
      <w:pPr>
        <w:pStyle w:val="NoSpacing"/>
        <w:rPr>
          <w:b/>
          <w:color w:val="FF0000"/>
        </w:rPr>
      </w:pPr>
      <w:r w:rsidRPr="00253146">
        <w:rPr>
          <w:b/>
          <w:color w:val="FF0000"/>
        </w:rPr>
        <w:t>Date:</w:t>
      </w:r>
    </w:p>
    <w:p w:rsidR="003D0EA6" w:rsidRPr="00253146" w:rsidRDefault="003D0EA6" w:rsidP="00AB2F4A">
      <w:pPr>
        <w:pStyle w:val="NoSpacing"/>
        <w:rPr>
          <w:b/>
          <w:color w:val="FF0000"/>
        </w:rPr>
      </w:pPr>
      <w:r w:rsidRPr="00253146">
        <w:rPr>
          <w:b/>
          <w:color w:val="FF0000"/>
        </w:rPr>
        <w:t>Patient Name:</w:t>
      </w:r>
    </w:p>
    <w:p w:rsidR="003D0EA6" w:rsidRPr="00253146" w:rsidRDefault="003D0EA6" w:rsidP="00AB2F4A">
      <w:pPr>
        <w:pStyle w:val="NoSpacing"/>
        <w:rPr>
          <w:b/>
          <w:color w:val="FF0000"/>
        </w:rPr>
      </w:pPr>
      <w:r w:rsidRPr="00253146">
        <w:rPr>
          <w:b/>
          <w:color w:val="FF0000"/>
        </w:rPr>
        <w:t>Patient DOB:</w:t>
      </w:r>
    </w:p>
    <w:p w:rsidR="003D0EA6" w:rsidRPr="00253146" w:rsidRDefault="003D0EA6" w:rsidP="00AB2F4A">
      <w:pPr>
        <w:pStyle w:val="NoSpacing"/>
        <w:rPr>
          <w:b/>
          <w:color w:val="FF0000"/>
        </w:rPr>
      </w:pPr>
      <w:r w:rsidRPr="00253146">
        <w:rPr>
          <w:b/>
          <w:color w:val="FF0000"/>
        </w:rPr>
        <w:t>Insurance Company</w:t>
      </w:r>
      <w:r w:rsidR="00B82599" w:rsidRPr="00253146">
        <w:rPr>
          <w:b/>
          <w:color w:val="FF0000"/>
        </w:rPr>
        <w:t xml:space="preserve"> Name, Address, City, State</w:t>
      </w:r>
      <w:r w:rsidRPr="00253146">
        <w:rPr>
          <w:b/>
          <w:color w:val="FF0000"/>
        </w:rPr>
        <w:t>:</w:t>
      </w:r>
    </w:p>
    <w:p w:rsidR="003D0EA6" w:rsidRPr="00253146" w:rsidRDefault="003D0EA6" w:rsidP="00AB2F4A">
      <w:pPr>
        <w:pStyle w:val="NoSpacing"/>
        <w:rPr>
          <w:b/>
          <w:color w:val="FF0000"/>
        </w:rPr>
      </w:pPr>
      <w:r w:rsidRPr="00253146">
        <w:rPr>
          <w:b/>
          <w:color w:val="FF0000"/>
        </w:rPr>
        <w:t>Policy Number</w:t>
      </w:r>
      <w:r w:rsidR="00253146">
        <w:rPr>
          <w:b/>
          <w:color w:val="FF0000"/>
        </w:rPr>
        <w:t>:</w:t>
      </w:r>
    </w:p>
    <w:p w:rsidR="003D0EA6" w:rsidRPr="00253146" w:rsidRDefault="003D0EA6" w:rsidP="00AB2F4A">
      <w:pPr>
        <w:pStyle w:val="NoSpacing"/>
        <w:rPr>
          <w:b/>
          <w:color w:val="FF0000"/>
        </w:rPr>
      </w:pPr>
      <w:r w:rsidRPr="00253146">
        <w:rPr>
          <w:b/>
          <w:color w:val="FF0000"/>
        </w:rPr>
        <w:t>Group Number</w:t>
      </w:r>
      <w:r w:rsidR="00253146">
        <w:rPr>
          <w:b/>
          <w:color w:val="FF0000"/>
        </w:rPr>
        <w:t>:</w:t>
      </w:r>
    </w:p>
    <w:p w:rsidR="00AB2F4A" w:rsidRPr="00AB2F4A" w:rsidRDefault="00B82599" w:rsidP="00AB2F4A">
      <w:pPr>
        <w:pStyle w:val="NoSpacing"/>
        <w:rPr>
          <w:color w:val="FF0000"/>
        </w:rPr>
      </w:pPr>
      <w:r w:rsidRPr="00253146">
        <w:rPr>
          <w:b/>
          <w:color w:val="FF0000"/>
        </w:rPr>
        <w:t>ICD10 Codes</w:t>
      </w:r>
      <w:r w:rsidR="00253146">
        <w:rPr>
          <w:b/>
          <w:color w:val="FF0000"/>
        </w:rPr>
        <w:t>:</w:t>
      </w:r>
      <w:r w:rsidR="00921AF4" w:rsidRPr="00AB2F4A">
        <w:rPr>
          <w:color w:val="FF0000"/>
        </w:rPr>
        <w:t xml:space="preserve"> </w:t>
      </w:r>
    </w:p>
    <w:p w:rsidR="00205DB4" w:rsidRDefault="00205DB4" w:rsidP="00AB2F4A">
      <w:pPr>
        <w:pStyle w:val="NoSpacing"/>
      </w:pPr>
    </w:p>
    <w:p w:rsidR="00205DB4" w:rsidRDefault="00205DB4" w:rsidP="00AB2F4A">
      <w:pPr>
        <w:pStyle w:val="NoSpacing"/>
      </w:pPr>
    </w:p>
    <w:p w:rsidR="00342070" w:rsidRDefault="00342070" w:rsidP="00AB2F4A">
      <w:pPr>
        <w:pStyle w:val="NoSpacing"/>
      </w:pPr>
    </w:p>
    <w:p w:rsidR="00205DB4" w:rsidRPr="00253146" w:rsidRDefault="00253146" w:rsidP="00AB2F4A">
      <w:pPr>
        <w:pStyle w:val="NoSpacing"/>
        <w:rPr>
          <w:b/>
          <w:u w:val="single"/>
        </w:rPr>
      </w:pPr>
      <w:r w:rsidRPr="00253146">
        <w:rPr>
          <w:b/>
          <w:u w:val="single"/>
        </w:rPr>
        <w:t>Test Information</w:t>
      </w:r>
    </w:p>
    <w:p w:rsidR="002D0B92" w:rsidRPr="00253146" w:rsidRDefault="002D0B92" w:rsidP="00AB2F4A">
      <w:pPr>
        <w:pStyle w:val="NoSpacing"/>
      </w:pPr>
      <w:r w:rsidRPr="00253146">
        <w:rPr>
          <w:b/>
        </w:rPr>
        <w:t>Test Name</w:t>
      </w:r>
      <w:r w:rsidR="00FB3BE6" w:rsidRPr="00253146">
        <w:rPr>
          <w:b/>
        </w:rPr>
        <w:t>:</w:t>
      </w:r>
      <w:r w:rsidR="00942600">
        <w:t xml:space="preserve"> </w:t>
      </w:r>
      <w:r w:rsidR="00942600" w:rsidRPr="007A1886">
        <w:t>Arrhythmia Panel</w:t>
      </w:r>
    </w:p>
    <w:p w:rsidR="00F9401A" w:rsidRDefault="002D0B92" w:rsidP="00AB2F4A">
      <w:pPr>
        <w:pStyle w:val="NoSpacing"/>
      </w:pPr>
      <w:r w:rsidRPr="0064562A">
        <w:rPr>
          <w:b/>
        </w:rPr>
        <w:t>CPT Codes</w:t>
      </w:r>
      <w:r w:rsidR="00FB3BE6" w:rsidRPr="0064562A">
        <w:rPr>
          <w:b/>
        </w:rPr>
        <w:t>:</w:t>
      </w:r>
      <w:r w:rsidR="00A61A59">
        <w:rPr>
          <w:b/>
        </w:rPr>
        <w:t xml:space="preserve">  </w:t>
      </w:r>
      <w:r w:rsidR="00A61A59" w:rsidRPr="00A61A59">
        <w:t>81413x1, 81414x1</w:t>
      </w:r>
    </w:p>
    <w:p w:rsidR="008706C4" w:rsidRPr="00253146" w:rsidRDefault="00FB3BE6" w:rsidP="00AB2F4A">
      <w:pPr>
        <w:pStyle w:val="NoSpacing"/>
        <w:rPr>
          <w:b/>
        </w:rPr>
      </w:pPr>
      <w:r w:rsidRPr="00253146">
        <w:rPr>
          <w:b/>
        </w:rPr>
        <w:t xml:space="preserve">Laboratory: </w:t>
      </w:r>
    </w:p>
    <w:p w:rsidR="00253146" w:rsidRDefault="008706C4" w:rsidP="00AB2F4A">
      <w:pPr>
        <w:pStyle w:val="NoSpacing"/>
      </w:pPr>
      <w:r>
        <w:t>GeneDx</w:t>
      </w:r>
      <w:r w:rsidR="00D17422">
        <w:t xml:space="preserve">, Inc. </w:t>
      </w:r>
      <w:r w:rsidR="00205DB4">
        <w:t xml:space="preserve"> </w:t>
      </w:r>
    </w:p>
    <w:p w:rsidR="00205DB4" w:rsidRPr="008706C4" w:rsidRDefault="00FB3BE6" w:rsidP="00AB2F4A">
      <w:pPr>
        <w:pStyle w:val="NoSpacing"/>
      </w:pPr>
      <w:r w:rsidRPr="00AB2F4A">
        <w:t>(NPI#1487632998 / TAXID#205446298 / CLIA#21D0969951)</w:t>
      </w:r>
    </w:p>
    <w:p w:rsidR="00AB2F4A" w:rsidRPr="00205DB4" w:rsidRDefault="00AB2F4A" w:rsidP="00AB2F4A">
      <w:pPr>
        <w:pStyle w:val="NoSpacing"/>
        <w:rPr>
          <w:color w:val="FF0000"/>
        </w:rPr>
      </w:pPr>
      <w:r w:rsidRPr="00AB2F4A">
        <w:t>207 Perry Parkway</w:t>
      </w:r>
    </w:p>
    <w:p w:rsidR="00AB2F4A" w:rsidRPr="00AB2F4A" w:rsidRDefault="00AB2F4A" w:rsidP="00AB2F4A">
      <w:pPr>
        <w:pStyle w:val="NoSpacing"/>
      </w:pPr>
      <w:r w:rsidRPr="00AB2F4A">
        <w:t>Gaithersburg, MD 20877</w:t>
      </w:r>
    </w:p>
    <w:p w:rsidR="00AB2F4A" w:rsidRPr="0064562A" w:rsidRDefault="00AB2F4A" w:rsidP="00AB2F4A">
      <w:pPr>
        <w:pStyle w:val="NoSpacing"/>
      </w:pPr>
      <w:r w:rsidRPr="0064562A">
        <w:t>Telephone:</w:t>
      </w:r>
      <w:r w:rsidR="0064562A" w:rsidRPr="0064562A">
        <w:t xml:space="preserve"> (301) 519-2100</w:t>
      </w:r>
    </w:p>
    <w:p w:rsidR="002D0B92" w:rsidRPr="0064562A" w:rsidRDefault="00AB2F4A" w:rsidP="00AB2F4A">
      <w:pPr>
        <w:pStyle w:val="NoSpacing"/>
      </w:pPr>
      <w:r w:rsidRPr="0064562A">
        <w:t xml:space="preserve">Fax: </w:t>
      </w:r>
      <w:r w:rsidR="0064562A" w:rsidRPr="0064562A">
        <w:t>(201) 421-2010</w:t>
      </w:r>
    </w:p>
    <w:p w:rsidR="00AB2F4A" w:rsidRPr="00AB2F4A" w:rsidRDefault="00AB2F4A" w:rsidP="00AB2F4A">
      <w:pPr>
        <w:pStyle w:val="NoSpacing"/>
        <w:sectPr w:rsidR="00AB2F4A" w:rsidRPr="00AB2F4A" w:rsidSect="00AB2F4A">
          <w:type w:val="continuous"/>
          <w:pgSz w:w="12240" w:h="15840"/>
          <w:pgMar w:top="1440" w:right="1440" w:bottom="1440" w:left="1440" w:header="720" w:footer="720" w:gutter="0"/>
          <w:cols w:num="2" w:space="720"/>
          <w:docGrid w:linePitch="360"/>
        </w:sectPr>
      </w:pPr>
    </w:p>
    <w:p w:rsidR="003D0EA6" w:rsidRPr="00AB2F4A" w:rsidRDefault="003D0EA6" w:rsidP="00AB2F4A">
      <w:pPr>
        <w:pStyle w:val="NoSpacing"/>
      </w:pPr>
    </w:p>
    <w:p w:rsidR="00205DB4" w:rsidRDefault="00205DB4" w:rsidP="00AB2F4A">
      <w:pPr>
        <w:pStyle w:val="NoSpacing"/>
      </w:pPr>
    </w:p>
    <w:p w:rsidR="00F74480" w:rsidRDefault="00F74480" w:rsidP="00AB2F4A">
      <w:pPr>
        <w:pStyle w:val="NoSpacing"/>
      </w:pPr>
      <w:r w:rsidRPr="00AB2F4A">
        <w:t xml:space="preserve">This letter is in regards to my patient, </w:t>
      </w:r>
      <w:r w:rsidR="002D0B92" w:rsidRPr="00AB2F4A">
        <w:rPr>
          <w:color w:val="FF0000"/>
        </w:rPr>
        <w:t>[</w:t>
      </w:r>
      <w:r w:rsidRPr="00AB2F4A">
        <w:rPr>
          <w:color w:val="FF0000"/>
        </w:rPr>
        <w:t>FIRST NAME LAST NAME</w:t>
      </w:r>
      <w:r w:rsidR="002D0B92" w:rsidRPr="00AB2F4A">
        <w:rPr>
          <w:color w:val="FF0000"/>
        </w:rPr>
        <w:t>]</w:t>
      </w:r>
      <w:r w:rsidR="0064562A">
        <w:t>, to re</w:t>
      </w:r>
      <w:r w:rsidR="00942600">
        <w:t xml:space="preserve">quest full coverage for the </w:t>
      </w:r>
      <w:r w:rsidR="00942600" w:rsidRPr="007A1886">
        <w:t>Arrhythmia Panel</w:t>
      </w:r>
      <w:r w:rsidR="00942600" w:rsidRPr="00AB2F4A">
        <w:t xml:space="preserve"> </w:t>
      </w:r>
      <w:r w:rsidRPr="00AB2F4A">
        <w:t>to be perfo</w:t>
      </w:r>
      <w:r w:rsidR="008706C4">
        <w:t>r</w:t>
      </w:r>
      <w:r w:rsidRPr="00AB2F4A">
        <w:t>med by GeneDx</w:t>
      </w:r>
      <w:r w:rsidR="002D0B92" w:rsidRPr="00AB2F4A">
        <w:t xml:space="preserve">.  </w:t>
      </w:r>
      <w:r w:rsidRPr="00AB2F4A">
        <w:t xml:space="preserve">It is my professional determination that testing is medically necessary and will have a direct impact on this patient’s treatment and management.   </w:t>
      </w:r>
    </w:p>
    <w:p w:rsidR="006337EC" w:rsidRDefault="006337EC" w:rsidP="00AB2F4A">
      <w:pPr>
        <w:pStyle w:val="NoSpacing"/>
      </w:pPr>
    </w:p>
    <w:p w:rsidR="00B374A4" w:rsidRPr="00B374A4" w:rsidRDefault="00B374A4" w:rsidP="00AB2F4A">
      <w:pPr>
        <w:pStyle w:val="NoSpacing"/>
        <w:rPr>
          <w:b/>
        </w:rPr>
      </w:pPr>
      <w:r w:rsidRPr="00B374A4">
        <w:rPr>
          <w:b/>
        </w:rPr>
        <w:t xml:space="preserve">Patient </w:t>
      </w:r>
      <w:r>
        <w:rPr>
          <w:b/>
        </w:rPr>
        <w:t>Clinical and Family History</w:t>
      </w:r>
    </w:p>
    <w:p w:rsidR="006337EC" w:rsidRDefault="006337EC" w:rsidP="006337EC">
      <w:pPr>
        <w:pStyle w:val="NoSpacing"/>
      </w:pPr>
      <w:r>
        <w:t>This testing is requested due to this</w:t>
      </w:r>
      <w:r w:rsidRPr="00AB2F4A">
        <w:t xml:space="preserve"> patient’s person</w:t>
      </w:r>
      <w:r w:rsidR="00855940">
        <w:t>al medical history, which includes the following clinical findings</w:t>
      </w:r>
      <w:r w:rsidRPr="00AB2F4A">
        <w:t xml:space="preserve">:  </w:t>
      </w:r>
    </w:p>
    <w:p w:rsidR="006337EC" w:rsidRPr="00AB2F4A" w:rsidRDefault="006337EC" w:rsidP="006337EC">
      <w:pPr>
        <w:pStyle w:val="NoSpacing"/>
      </w:pPr>
    </w:p>
    <w:p w:rsidR="006337EC" w:rsidRPr="00AB2F4A" w:rsidRDefault="006337EC" w:rsidP="006337EC">
      <w:pPr>
        <w:pStyle w:val="NoSpacing"/>
        <w:numPr>
          <w:ilvl w:val="0"/>
          <w:numId w:val="6"/>
        </w:numPr>
        <w:rPr>
          <w:color w:val="FF0000"/>
        </w:rPr>
      </w:pPr>
      <w:r>
        <w:rPr>
          <w:color w:val="FF0000"/>
        </w:rPr>
        <w:t xml:space="preserve">Add Phenotype </w:t>
      </w:r>
    </w:p>
    <w:p w:rsidR="006337EC" w:rsidRPr="00AB2F4A" w:rsidRDefault="006337EC" w:rsidP="006337EC">
      <w:pPr>
        <w:pStyle w:val="NoSpacing"/>
        <w:numPr>
          <w:ilvl w:val="0"/>
          <w:numId w:val="6"/>
        </w:numPr>
        <w:rPr>
          <w:color w:val="FF0000"/>
        </w:rPr>
      </w:pPr>
      <w:r>
        <w:rPr>
          <w:color w:val="FF0000"/>
        </w:rPr>
        <w:t xml:space="preserve">Add Phenotype </w:t>
      </w:r>
    </w:p>
    <w:p w:rsidR="006337EC" w:rsidRDefault="006337EC" w:rsidP="00AB2F4A">
      <w:pPr>
        <w:pStyle w:val="NoSpacing"/>
        <w:numPr>
          <w:ilvl w:val="0"/>
          <w:numId w:val="6"/>
        </w:numPr>
        <w:rPr>
          <w:color w:val="FF0000"/>
        </w:rPr>
      </w:pPr>
      <w:r>
        <w:rPr>
          <w:color w:val="FF0000"/>
        </w:rPr>
        <w:t>Add Phenotype</w:t>
      </w:r>
    </w:p>
    <w:p w:rsidR="00855940" w:rsidRDefault="00855940" w:rsidP="00855940">
      <w:pPr>
        <w:pStyle w:val="NoSpacing"/>
        <w:rPr>
          <w:color w:val="FF0000"/>
        </w:rPr>
      </w:pPr>
    </w:p>
    <w:p w:rsidR="00855940" w:rsidRDefault="00855940" w:rsidP="00855940">
      <w:pPr>
        <w:pStyle w:val="NoSpacing"/>
      </w:pPr>
      <w:r>
        <w:t xml:space="preserve">The patient’s family history is </w:t>
      </w:r>
      <w:r w:rsidRPr="00855940">
        <w:rPr>
          <w:color w:val="FF0000"/>
        </w:rPr>
        <w:t>negative</w:t>
      </w:r>
      <w:r>
        <w:rPr>
          <w:color w:val="FF0000"/>
        </w:rPr>
        <w:t xml:space="preserve"> for related conditions</w:t>
      </w:r>
      <w:r w:rsidRPr="00855940">
        <w:rPr>
          <w:color w:val="FF0000"/>
        </w:rPr>
        <w:t xml:space="preserve"> / unknown / remarkable for the following </w:t>
      </w:r>
      <w:r>
        <w:rPr>
          <w:color w:val="FF0000"/>
        </w:rPr>
        <w:t xml:space="preserve">related clinical features: </w:t>
      </w:r>
    </w:p>
    <w:p w:rsidR="00ED14F6" w:rsidRDefault="00ED14F6" w:rsidP="00855940">
      <w:pPr>
        <w:pStyle w:val="NoSpacing"/>
      </w:pPr>
    </w:p>
    <w:p w:rsidR="00ED14F6" w:rsidRDefault="00ED14F6" w:rsidP="00855940">
      <w:pPr>
        <w:pStyle w:val="NoSpacing"/>
        <w:rPr>
          <w:color w:val="FF0000"/>
        </w:rPr>
      </w:pPr>
      <w:r>
        <w:rPr>
          <w:color w:val="FF0000"/>
        </w:rPr>
        <w:t>The patient has previously had the following uninformative genetic and other testing:</w:t>
      </w:r>
    </w:p>
    <w:p w:rsidR="00ED14F6" w:rsidRDefault="00ED14F6" w:rsidP="00301F9D">
      <w:pPr>
        <w:pStyle w:val="NoSpacing"/>
        <w:numPr>
          <w:ilvl w:val="0"/>
          <w:numId w:val="9"/>
        </w:numPr>
        <w:rPr>
          <w:color w:val="FF0000"/>
        </w:rPr>
      </w:pPr>
      <w:r>
        <w:rPr>
          <w:color w:val="FF0000"/>
        </w:rPr>
        <w:t>Add test</w:t>
      </w:r>
    </w:p>
    <w:p w:rsidR="00ED14F6" w:rsidRDefault="00ED14F6" w:rsidP="00301F9D">
      <w:pPr>
        <w:pStyle w:val="NoSpacing"/>
        <w:numPr>
          <w:ilvl w:val="0"/>
          <w:numId w:val="9"/>
        </w:numPr>
        <w:rPr>
          <w:color w:val="FF0000"/>
        </w:rPr>
      </w:pPr>
      <w:r>
        <w:rPr>
          <w:color w:val="FF0000"/>
        </w:rPr>
        <w:t>Add test</w:t>
      </w:r>
    </w:p>
    <w:p w:rsidR="00ED14F6" w:rsidRPr="00301F9D" w:rsidRDefault="00ED14F6" w:rsidP="00301F9D">
      <w:pPr>
        <w:pStyle w:val="NoSpacing"/>
        <w:numPr>
          <w:ilvl w:val="0"/>
          <w:numId w:val="9"/>
        </w:numPr>
        <w:rPr>
          <w:color w:val="FF0000"/>
        </w:rPr>
      </w:pPr>
      <w:r>
        <w:rPr>
          <w:color w:val="FF0000"/>
        </w:rPr>
        <w:t>Add test</w:t>
      </w:r>
    </w:p>
    <w:p w:rsidR="00205DB4" w:rsidRDefault="00205DB4" w:rsidP="00AB2F4A">
      <w:pPr>
        <w:pStyle w:val="NoSpacing"/>
      </w:pPr>
    </w:p>
    <w:p w:rsidR="00B374A4" w:rsidRPr="00B374A4" w:rsidRDefault="00776731" w:rsidP="00AB2F4A">
      <w:pPr>
        <w:pStyle w:val="NoSpacing"/>
        <w:rPr>
          <w:b/>
        </w:rPr>
      </w:pPr>
      <w:r>
        <w:rPr>
          <w:b/>
        </w:rPr>
        <w:t>Clinical Evidence and Guidelines for Testing</w:t>
      </w:r>
    </w:p>
    <w:p w:rsidR="007A4442" w:rsidRDefault="007A4442" w:rsidP="007A4442">
      <w:pPr>
        <w:pStyle w:val="NoSpacing"/>
      </w:pPr>
      <w:r w:rsidRPr="007A4442">
        <w:t>The Arrhythmia Panel includes germline analysis of genes involved in conditions that include severe cardiovascular manifestations, including sudden cardiac arrest and sudden cardiac death. Panel testing includes both sequencing and deletion/duplication analysis of multiple genes simultaneously.</w:t>
      </w:r>
    </w:p>
    <w:p w:rsidR="007A4442" w:rsidRPr="007A4442" w:rsidRDefault="007A4442" w:rsidP="007A4442">
      <w:pPr>
        <w:pStyle w:val="NoSpacing"/>
      </w:pPr>
    </w:p>
    <w:p w:rsidR="007A4442" w:rsidRPr="007A4442" w:rsidRDefault="007A4442" w:rsidP="007A4442">
      <w:pPr>
        <w:pStyle w:val="NoSpacing"/>
      </w:pPr>
      <w:r w:rsidRPr="007A4442">
        <w:t xml:space="preserve">Cardiac arrhythmias occur due to disruption of the heart’s natural rhythm, and have many different presentations, including </w:t>
      </w:r>
      <w:proofErr w:type="spellStart"/>
      <w:r w:rsidRPr="007A4442">
        <w:t>arrhythmogenic</w:t>
      </w:r>
      <w:proofErr w:type="spellEnd"/>
      <w:r w:rsidRPr="007A4442">
        <w:t xml:space="preserve"> right ventricular dysplasia/cardiomyopathy (ARVC), </w:t>
      </w:r>
      <w:proofErr w:type="spellStart"/>
      <w:r w:rsidRPr="007A4442">
        <w:t>Brugada</w:t>
      </w:r>
      <w:proofErr w:type="spellEnd"/>
      <w:r w:rsidRPr="007A4442">
        <w:t xml:space="preserve"> syndrome (</w:t>
      </w:r>
      <w:proofErr w:type="spellStart"/>
      <w:r w:rsidRPr="007A4442">
        <w:t>BrS</w:t>
      </w:r>
      <w:proofErr w:type="spellEnd"/>
      <w:r w:rsidRPr="007A4442">
        <w:t xml:space="preserve">), </w:t>
      </w:r>
      <w:proofErr w:type="spellStart"/>
      <w:r w:rsidRPr="007A4442">
        <w:t>Catecholaminergic</w:t>
      </w:r>
      <w:proofErr w:type="spellEnd"/>
      <w:r w:rsidRPr="007A4442">
        <w:t xml:space="preserve"> polymorphic ventricular tachycardia (CPVT), and Long QT syndrome (LQTS). In some individuals or families, the clinical picture is complex and features of more than one of </w:t>
      </w:r>
      <w:r w:rsidRPr="007A4442">
        <w:lastRenderedPageBreak/>
        <w:t>these conditions can be present, in which case a broader approach to genetic testing is imperative. Cardiac arrhythmias are genetically heterogeneous and have many different clinical presentations.</w:t>
      </w:r>
    </w:p>
    <w:p w:rsidR="00653661" w:rsidRDefault="007A4442" w:rsidP="00AB2F4A">
      <w:pPr>
        <w:pStyle w:val="NoSpacing"/>
      </w:pPr>
      <w:r w:rsidRPr="007A4442">
        <w:t xml:space="preserve">Genetic predispositions to arrhythmias can be inherited in an autosomal dominant, autosomal recessive, X-linked, or mitochondrial manner. </w:t>
      </w:r>
    </w:p>
    <w:p w:rsidR="007A4442" w:rsidRDefault="007A4442" w:rsidP="00AB2F4A">
      <w:pPr>
        <w:pStyle w:val="NoSpacing"/>
      </w:pPr>
    </w:p>
    <w:p w:rsidR="007A4442" w:rsidRPr="00CE5079" w:rsidRDefault="007A4442" w:rsidP="007A4442">
      <w:pPr>
        <w:spacing w:after="240"/>
      </w:pPr>
      <w:r w:rsidRPr="00CE5079">
        <w:t>The diagnosis of arrhythmias can often be established by noninvasive electrophysiological studies, including electrocardiog</w:t>
      </w:r>
      <w:r>
        <w:t xml:space="preserve">ram, cardiac stress test, </w:t>
      </w:r>
      <w:proofErr w:type="spellStart"/>
      <w:r>
        <w:t>H</w:t>
      </w:r>
      <w:r w:rsidRPr="00CE5079">
        <w:t>olter</w:t>
      </w:r>
      <w:proofErr w:type="spellEnd"/>
      <w:r w:rsidRPr="00CE5079">
        <w:t xml:space="preserve"> and other event monitoring.</w:t>
      </w:r>
      <w:r>
        <w:rPr>
          <w:vertAlign w:val="superscript"/>
        </w:rPr>
        <w:t>1,2,3,4</w:t>
      </w:r>
      <w:r w:rsidRPr="00CE5079">
        <w:t xml:space="preserve"> However, when imaging results are absent, subtle, or non-specific, molecular diagnosis with genetic testing aids in diagnosis, management and establishing recurrence risk for family members.</w:t>
      </w:r>
      <w:r>
        <w:t xml:space="preserve">  </w:t>
      </w:r>
      <w:r w:rsidRPr="00CE5079">
        <w:t>Molecular genetic testing is critical to aid patient management in a cost-effective way and to min</w:t>
      </w:r>
      <w:r>
        <w:t>imize morbidity and mortality.</w:t>
      </w:r>
      <w:r w:rsidR="0057517A">
        <w:rPr>
          <w:vertAlign w:val="superscript"/>
        </w:rPr>
        <w:t>5-8</w:t>
      </w:r>
    </w:p>
    <w:p w:rsidR="009D4339" w:rsidRDefault="009D4339" w:rsidP="009D4339">
      <w:pPr>
        <w:spacing w:after="240"/>
      </w:pPr>
      <w:r>
        <w:t>National and international medical societies have published guidelines that recommend genetic testing for arrhythmias:</w:t>
      </w:r>
    </w:p>
    <w:p w:rsidR="009D4339" w:rsidRDefault="009D4339" w:rsidP="009D4339">
      <w:pPr>
        <w:pStyle w:val="ListParagraph"/>
        <w:numPr>
          <w:ilvl w:val="0"/>
          <w:numId w:val="11"/>
        </w:numPr>
        <w:spacing w:after="240"/>
      </w:pPr>
      <w:r w:rsidRPr="009010A6">
        <w:t xml:space="preserve">The </w:t>
      </w:r>
      <w:r>
        <w:t>Heart Rhythm Society / European Heart Rhythm Association (</w:t>
      </w:r>
      <w:r w:rsidRPr="009010A6">
        <w:t>HRS/EHRA</w:t>
      </w:r>
      <w:r>
        <w:t>)</w:t>
      </w:r>
      <w:r w:rsidRPr="007E6F57">
        <w:t xml:space="preserve"> Expert Consensus Statement on the State of Genetic Testing for the </w:t>
      </w:r>
      <w:proofErr w:type="spellStart"/>
      <w:r w:rsidRPr="007E6F57">
        <w:t>Channelopathies</w:t>
      </w:r>
      <w:proofErr w:type="spellEnd"/>
      <w:r w:rsidRPr="007E6F57">
        <w:t xml:space="preserve"> and Cardiomyopathies </w:t>
      </w:r>
      <w:r w:rsidR="007A4442" w:rsidRPr="00CE5079">
        <w:t>states that comprehensive or targeted ARVC genetic testing can be useful for patients satisfying task force diagnostic criteria for ARVC and LVNC.</w:t>
      </w:r>
      <w:r w:rsidR="000A77D3" w:rsidRPr="009D4339">
        <w:rPr>
          <w:vertAlign w:val="superscript"/>
        </w:rPr>
        <w:t>8</w:t>
      </w:r>
      <w:r w:rsidR="007A4442" w:rsidRPr="00CE5079">
        <w:t xml:space="preserve"> </w:t>
      </w:r>
    </w:p>
    <w:p w:rsidR="00DB3B6E" w:rsidRDefault="007A4442" w:rsidP="009D4339">
      <w:pPr>
        <w:pStyle w:val="ListParagraph"/>
        <w:numPr>
          <w:ilvl w:val="0"/>
          <w:numId w:val="11"/>
        </w:numPr>
        <w:spacing w:after="240"/>
      </w:pPr>
      <w:r w:rsidRPr="00CE5079">
        <w:t>Similarly, the HRS/EHRA Expert Consensus Statement states that genetic testing is recommended with patients with clinical suspicion of LQTS or asymptomatic patients with primary QT prolongation, is recommended for patients with clinical suspicion of CPVT, and can be useful for patients with clinical suspicion of BrS.</w:t>
      </w:r>
      <w:r w:rsidR="000A77D3" w:rsidRPr="009D4339">
        <w:rPr>
          <w:vertAlign w:val="superscript"/>
        </w:rPr>
        <w:t>8</w:t>
      </w:r>
    </w:p>
    <w:p w:rsidR="00B374A4" w:rsidRPr="00B374A4" w:rsidRDefault="00776731" w:rsidP="00AB2F4A">
      <w:pPr>
        <w:pStyle w:val="NoSpacing"/>
        <w:rPr>
          <w:b/>
        </w:rPr>
      </w:pPr>
      <w:r>
        <w:rPr>
          <w:b/>
        </w:rPr>
        <w:t xml:space="preserve">Patient Clinical Utility and </w:t>
      </w:r>
      <w:r w:rsidR="00B374A4" w:rsidRPr="00B374A4">
        <w:rPr>
          <w:b/>
        </w:rPr>
        <w:t>Medical Management</w:t>
      </w:r>
      <w:r w:rsidR="00B374A4">
        <w:rPr>
          <w:b/>
        </w:rPr>
        <w:t xml:space="preserve"> Implications</w:t>
      </w:r>
      <w:r w:rsidR="00B374A4" w:rsidRPr="00B374A4">
        <w:rPr>
          <w:b/>
        </w:rPr>
        <w:t xml:space="preserve"> </w:t>
      </w:r>
    </w:p>
    <w:p w:rsidR="00DB3B6E" w:rsidRDefault="007A4442" w:rsidP="00AB2F4A">
      <w:pPr>
        <w:pStyle w:val="NoSpacing"/>
        <w:rPr>
          <w:vertAlign w:val="superscript"/>
        </w:rPr>
      </w:pPr>
      <w:r>
        <w:t>T</w:t>
      </w:r>
      <w:r w:rsidRPr="00CE5079">
        <w:t>he results will guide appropriate medical management for this patient, including surveillance, preventive measures, and medical and surgical treatment.</w:t>
      </w:r>
      <w:r>
        <w:t xml:space="preserve"> </w:t>
      </w:r>
      <w:r w:rsidRPr="00CE5079">
        <w:t xml:space="preserve">Treatment for </w:t>
      </w:r>
      <w:r>
        <w:t>arrhythmia</w:t>
      </w:r>
      <w:r w:rsidRPr="00CE5079">
        <w:t xml:space="preserve"> and surveillance for progression is critical and is strongly influenced by knowledge of the underlying genetic cause.</w:t>
      </w:r>
      <w:r w:rsidRPr="00CE5079">
        <w:rPr>
          <w:vertAlign w:val="superscript"/>
        </w:rPr>
        <w:t>1</w:t>
      </w:r>
      <w:proofErr w:type="gramStart"/>
      <w:r w:rsidRPr="00CE5079">
        <w:rPr>
          <w:vertAlign w:val="superscript"/>
        </w:rPr>
        <w:t>,2,3,4,5,6,7</w:t>
      </w:r>
      <w:r w:rsidR="000A77D3">
        <w:rPr>
          <w:vertAlign w:val="superscript"/>
        </w:rPr>
        <w:t>,9</w:t>
      </w:r>
      <w:proofErr w:type="gramEnd"/>
    </w:p>
    <w:p w:rsidR="007A4442" w:rsidRDefault="007A4442" w:rsidP="00AB2F4A">
      <w:pPr>
        <w:pStyle w:val="NoSpacing"/>
      </w:pPr>
    </w:p>
    <w:p w:rsidR="000A77D3" w:rsidRDefault="000A77D3" w:rsidP="00AB2F4A">
      <w:pPr>
        <w:pStyle w:val="NoSpacing"/>
      </w:pPr>
      <w:r w:rsidRPr="00E04209">
        <w:t>Manag</w:t>
      </w:r>
      <w:r>
        <w:t>ement for arrhythmias is summarized in</w:t>
      </w:r>
      <w:r w:rsidRPr="00E04209">
        <w:t xml:space="preserve"> specific consensus document</w:t>
      </w:r>
      <w:r>
        <w:t>s</w:t>
      </w:r>
      <w:r w:rsidRPr="00E04209">
        <w:t xml:space="preserve"> from the </w:t>
      </w:r>
      <w:r>
        <w:t>American College of Cardiology</w:t>
      </w:r>
      <w:r w:rsidR="002D6FB7">
        <w:t xml:space="preserve"> Foundation</w:t>
      </w:r>
      <w:r>
        <w:t xml:space="preserve"> / American Heart Association (ACC</w:t>
      </w:r>
      <w:r w:rsidR="002D6FB7">
        <w:t>F</w:t>
      </w:r>
      <w:r>
        <w:t xml:space="preserve">/AHA), the </w:t>
      </w:r>
      <w:r w:rsidRPr="00E04209">
        <w:t>Heart Rhythm Association (HRS) and the European Heart Rhythm Association (EHRA)</w:t>
      </w:r>
      <w:r>
        <w:t>, and in the</w:t>
      </w:r>
      <w:r w:rsidRPr="00E04209">
        <w:t xml:space="preserve"> European Society of Cardiology (ESC) guidelines on ventricular arrhythmias.</w:t>
      </w:r>
      <w:r>
        <w:rPr>
          <w:vertAlign w:val="superscript"/>
        </w:rPr>
        <w:t>5</w:t>
      </w:r>
      <w:proofErr w:type="gramStart"/>
      <w:r>
        <w:rPr>
          <w:vertAlign w:val="superscript"/>
        </w:rPr>
        <w:t>,6,8,9</w:t>
      </w:r>
      <w:proofErr w:type="gramEnd"/>
      <w:r>
        <w:t xml:space="preserve">  </w:t>
      </w:r>
    </w:p>
    <w:p w:rsidR="009D4339" w:rsidRDefault="009D4339" w:rsidP="00AB2F4A">
      <w:pPr>
        <w:pStyle w:val="NoSpacing"/>
        <w:rPr>
          <w:color w:val="FF0000"/>
        </w:rPr>
      </w:pPr>
    </w:p>
    <w:p w:rsidR="00887B41" w:rsidRPr="00887B41" w:rsidRDefault="00887B41" w:rsidP="00AB2F4A">
      <w:pPr>
        <w:pStyle w:val="NoSpacing"/>
        <w:rPr>
          <w:color w:val="FF0000"/>
        </w:rPr>
      </w:pPr>
      <w:r>
        <w:rPr>
          <w:color w:val="FF0000"/>
        </w:rPr>
        <w:t xml:space="preserve">Specifically for this patient, the results of </w:t>
      </w:r>
      <w:r w:rsidR="0074159D">
        <w:rPr>
          <w:color w:val="FF0000"/>
        </w:rPr>
        <w:t>this test</w:t>
      </w:r>
      <w:r>
        <w:rPr>
          <w:color w:val="FF0000"/>
        </w:rPr>
        <w:t xml:space="preserve"> will also </w:t>
      </w:r>
      <w:r w:rsidR="00535623">
        <w:rPr>
          <w:color w:val="FF0000"/>
        </w:rPr>
        <w:t>{</w:t>
      </w:r>
      <w:r>
        <w:rPr>
          <w:color w:val="FF0000"/>
        </w:rPr>
        <w:t>ADD ADDITIONAL INFORMATION}</w:t>
      </w:r>
    </w:p>
    <w:p w:rsidR="00B27690" w:rsidRDefault="00B27690" w:rsidP="00AB2F4A">
      <w:pPr>
        <w:pStyle w:val="NoSpacing"/>
      </w:pPr>
    </w:p>
    <w:p w:rsidR="00B374A4" w:rsidRPr="00B374A4" w:rsidRDefault="00B374A4" w:rsidP="00AB2F4A">
      <w:pPr>
        <w:pStyle w:val="NoSpacing"/>
        <w:rPr>
          <w:b/>
        </w:rPr>
      </w:pPr>
      <w:r w:rsidRPr="00B374A4">
        <w:rPr>
          <w:b/>
        </w:rPr>
        <w:t>Summary</w:t>
      </w:r>
    </w:p>
    <w:p w:rsidR="00AB2F4A" w:rsidRDefault="00942600" w:rsidP="00AB2F4A">
      <w:pPr>
        <w:pStyle w:val="NoSpacing"/>
      </w:pPr>
      <w:r>
        <w:t xml:space="preserve">The </w:t>
      </w:r>
      <w:r w:rsidRPr="007A1886">
        <w:t>Arrhythmia Panel</w:t>
      </w:r>
      <w:r w:rsidRPr="00AB2F4A">
        <w:t xml:space="preserve"> </w:t>
      </w:r>
      <w:r w:rsidR="00AB2F4A" w:rsidRPr="00AB2F4A">
        <w:t>at GeneD</w:t>
      </w:r>
      <w:r w:rsidR="00342070">
        <w:t xml:space="preserve">x is a highly sensitive </w:t>
      </w:r>
      <w:r w:rsidR="00AB2F4A" w:rsidRPr="00AB2F4A">
        <w:t>and cost-effective geneti</w:t>
      </w:r>
      <w:r w:rsidR="00342070">
        <w:t>c test</w:t>
      </w:r>
      <w:r w:rsidR="00AB2F4A" w:rsidRPr="00AB2F4A">
        <w:t xml:space="preserve">.  </w:t>
      </w:r>
      <w:r w:rsidR="00FB3BE6" w:rsidRPr="00AB2F4A">
        <w:t>I am requesting coverage for this medically necessary</w:t>
      </w:r>
      <w:r w:rsidR="00205DB4">
        <w:t xml:space="preserve"> test</w:t>
      </w:r>
      <w:r w:rsidR="00FB3BE6" w:rsidRPr="00AB2F4A">
        <w:t xml:space="preserve"> </w:t>
      </w:r>
      <w:r w:rsidR="00E04C9D" w:rsidRPr="00AB2F4A">
        <w:rPr>
          <w:color w:val="000000"/>
        </w:rPr>
        <w:t xml:space="preserve">in order to </w:t>
      </w:r>
      <w:r w:rsidR="00FB3BE6" w:rsidRPr="00AB2F4A">
        <w:rPr>
          <w:color w:val="000000"/>
        </w:rPr>
        <w:t>establish</w:t>
      </w:r>
      <w:r w:rsidR="00E04C9D" w:rsidRPr="00AB2F4A">
        <w:rPr>
          <w:color w:val="000000"/>
        </w:rPr>
        <w:t xml:space="preserve"> appropriate medical management for this patient.</w:t>
      </w:r>
      <w:r w:rsidR="00E04C9D" w:rsidRPr="00AB2F4A">
        <w:t xml:space="preserve">  Without testing, treatment would be suboptimal, subjecting this patient to increased morbidity and potentially early mortality.  </w:t>
      </w:r>
    </w:p>
    <w:p w:rsidR="00205DB4" w:rsidRPr="00AB2F4A" w:rsidRDefault="00205DB4" w:rsidP="00AB2F4A">
      <w:pPr>
        <w:pStyle w:val="NoSpacing"/>
      </w:pPr>
    </w:p>
    <w:p w:rsidR="00AB2F4A" w:rsidRDefault="00AB2F4A" w:rsidP="00AB2F4A">
      <w:pPr>
        <w:pStyle w:val="NoSpacing"/>
      </w:pPr>
      <w:r w:rsidRPr="00AB2F4A">
        <w:t xml:space="preserve">Thank you for your review and consideration.  If you have questions, or if I can be of further assistance, please do not hesitate to call me at </w:t>
      </w:r>
      <w:r w:rsidRPr="00AB2F4A">
        <w:rPr>
          <w:color w:val="FF0000"/>
        </w:rPr>
        <w:t>(XXX) XXX-XXXX</w:t>
      </w:r>
      <w:r>
        <w:t>.</w:t>
      </w:r>
    </w:p>
    <w:p w:rsidR="00205DB4" w:rsidRDefault="00205DB4" w:rsidP="00AB2F4A">
      <w:pPr>
        <w:pStyle w:val="NoSpacing"/>
      </w:pPr>
    </w:p>
    <w:p w:rsidR="00205DB4" w:rsidRDefault="00205DB4" w:rsidP="00AB2F4A">
      <w:pPr>
        <w:pStyle w:val="NoSpacing"/>
      </w:pPr>
      <w:r>
        <w:t>Sincerely,</w:t>
      </w:r>
    </w:p>
    <w:p w:rsidR="00205DB4" w:rsidRDefault="00205DB4" w:rsidP="00AB2F4A">
      <w:pPr>
        <w:pStyle w:val="NoSpacing"/>
      </w:pPr>
    </w:p>
    <w:p w:rsidR="00DB3B6E" w:rsidRDefault="00DB3B6E" w:rsidP="00AB2F4A">
      <w:pPr>
        <w:pStyle w:val="NoSpacing"/>
      </w:pPr>
    </w:p>
    <w:p w:rsidR="00205DB4" w:rsidRPr="00205DB4" w:rsidRDefault="00342070" w:rsidP="00AB2F4A">
      <w:pPr>
        <w:pStyle w:val="NoSpacing"/>
        <w:rPr>
          <w:color w:val="FF0000"/>
        </w:rPr>
      </w:pPr>
      <w:r>
        <w:rPr>
          <w:color w:val="FF0000"/>
        </w:rPr>
        <w:lastRenderedPageBreak/>
        <w:t>Signature</w:t>
      </w:r>
    </w:p>
    <w:p w:rsidR="00205DB4" w:rsidRDefault="00205DB4" w:rsidP="00AB2F4A">
      <w:pPr>
        <w:pStyle w:val="NoSpacing"/>
        <w:rPr>
          <w:color w:val="FF0000"/>
        </w:rPr>
      </w:pPr>
      <w:r w:rsidRPr="00205DB4">
        <w:rPr>
          <w:color w:val="FF0000"/>
        </w:rPr>
        <w:t>Ordering Provider’</w:t>
      </w:r>
      <w:r>
        <w:rPr>
          <w:color w:val="FF0000"/>
        </w:rPr>
        <w:t xml:space="preserve">s Name </w:t>
      </w:r>
    </w:p>
    <w:p w:rsidR="00C247D1" w:rsidRDefault="00C247D1" w:rsidP="00AB2F4A">
      <w:pPr>
        <w:pStyle w:val="NoSpacing"/>
        <w:rPr>
          <w:color w:val="FF0000"/>
        </w:rPr>
      </w:pPr>
    </w:p>
    <w:p w:rsidR="00C247D1" w:rsidRDefault="00C247D1" w:rsidP="00AB2F4A">
      <w:pPr>
        <w:pStyle w:val="NoSpacing"/>
        <w:rPr>
          <w:color w:val="FF0000"/>
        </w:rPr>
      </w:pPr>
    </w:p>
    <w:p w:rsidR="00454799" w:rsidRDefault="00454799" w:rsidP="00454799">
      <w:pPr>
        <w:rPr>
          <w:sz w:val="18"/>
          <w:szCs w:val="18"/>
        </w:rPr>
      </w:pPr>
      <w:r w:rsidRPr="000A77D3">
        <w:rPr>
          <w:sz w:val="18"/>
          <w:szCs w:val="18"/>
        </w:rPr>
        <w:t>References:</w:t>
      </w:r>
    </w:p>
    <w:p w:rsidR="000A77D3" w:rsidRDefault="000A77D3" w:rsidP="000A77D3">
      <w:pPr>
        <w:pStyle w:val="ListParagraph"/>
        <w:widowControl w:val="0"/>
        <w:numPr>
          <w:ilvl w:val="0"/>
          <w:numId w:val="10"/>
        </w:numPr>
        <w:autoSpaceDE w:val="0"/>
        <w:autoSpaceDN w:val="0"/>
        <w:adjustRightInd w:val="0"/>
        <w:spacing w:after="0" w:line="240" w:lineRule="auto"/>
      </w:pPr>
      <w:r w:rsidRPr="00CE5079">
        <w:t xml:space="preserve">McNally E, MacLeod H, </w:t>
      </w:r>
      <w:proofErr w:type="spellStart"/>
      <w:r w:rsidRPr="00CE5079">
        <w:t>Dellefave</w:t>
      </w:r>
      <w:proofErr w:type="spellEnd"/>
      <w:r w:rsidRPr="00CE5079">
        <w:t xml:space="preserve">-Castillo L. </w:t>
      </w:r>
      <w:proofErr w:type="spellStart"/>
      <w:r w:rsidRPr="00CE5079">
        <w:t>Arrhythmogenic</w:t>
      </w:r>
      <w:proofErr w:type="spellEnd"/>
      <w:r w:rsidRPr="00CE5079">
        <w:t xml:space="preserve"> Right Ventricular Dysplasia/Cardiomyopathy. 2005 Apr 18 [Updated 2014 Jan 9]. In: </w:t>
      </w:r>
      <w:proofErr w:type="spellStart"/>
      <w:r w:rsidRPr="00CE5079">
        <w:t>Pagon</w:t>
      </w:r>
      <w:proofErr w:type="spellEnd"/>
      <w:r w:rsidRPr="00CE5079">
        <w:t xml:space="preserve"> RA, Adam MP, </w:t>
      </w:r>
      <w:proofErr w:type="spellStart"/>
      <w:r w:rsidRPr="00CE5079">
        <w:t>Ardinger</w:t>
      </w:r>
      <w:proofErr w:type="spellEnd"/>
      <w:r w:rsidRPr="00CE5079">
        <w:t xml:space="preserve"> HH, et al., editors. </w:t>
      </w:r>
      <w:proofErr w:type="spellStart"/>
      <w:r w:rsidRPr="00CE5079">
        <w:t>GeneReviews</w:t>
      </w:r>
      <w:proofErr w:type="spellEnd"/>
      <w:r w:rsidRPr="00CE5079">
        <w:t xml:space="preserve">® [Internet]. Seattle (WA): University of Washington, Seattle; 1993-2017. Available from: </w:t>
      </w:r>
      <w:hyperlink r:id="rId5" w:history="1">
        <w:r w:rsidRPr="00F634AF">
          <w:rPr>
            <w:rStyle w:val="Hyperlink"/>
          </w:rPr>
          <w:t>https://www.ncbi.nlm.nih.gov/books/NBK1131/</w:t>
        </w:r>
      </w:hyperlink>
    </w:p>
    <w:p w:rsidR="000A77D3" w:rsidRPr="00CE5079" w:rsidRDefault="000A77D3" w:rsidP="000A77D3">
      <w:pPr>
        <w:pStyle w:val="ListParagraph"/>
        <w:widowControl w:val="0"/>
        <w:autoSpaceDE w:val="0"/>
        <w:autoSpaceDN w:val="0"/>
        <w:adjustRightInd w:val="0"/>
        <w:spacing w:after="0" w:line="240" w:lineRule="auto"/>
      </w:pPr>
    </w:p>
    <w:p w:rsidR="000A77D3" w:rsidRDefault="000A77D3" w:rsidP="000A77D3">
      <w:pPr>
        <w:pStyle w:val="ListParagraph"/>
        <w:widowControl w:val="0"/>
        <w:numPr>
          <w:ilvl w:val="0"/>
          <w:numId w:val="10"/>
        </w:numPr>
        <w:autoSpaceDE w:val="0"/>
        <w:autoSpaceDN w:val="0"/>
        <w:adjustRightInd w:val="0"/>
        <w:spacing w:after="0" w:line="240" w:lineRule="auto"/>
      </w:pPr>
      <w:proofErr w:type="spellStart"/>
      <w:r w:rsidRPr="00CE5079">
        <w:t>Brugada</w:t>
      </w:r>
      <w:proofErr w:type="spellEnd"/>
      <w:r w:rsidRPr="00CE5079">
        <w:t xml:space="preserve">, </w:t>
      </w:r>
      <w:proofErr w:type="spellStart"/>
      <w:r w:rsidRPr="00CE5079">
        <w:t>Campuzano</w:t>
      </w:r>
      <w:proofErr w:type="spellEnd"/>
      <w:r w:rsidRPr="00CE5079">
        <w:t xml:space="preserve">, </w:t>
      </w:r>
      <w:proofErr w:type="spellStart"/>
      <w:r w:rsidRPr="00CE5079">
        <w:t>Brugada</w:t>
      </w:r>
      <w:proofErr w:type="spellEnd"/>
      <w:r w:rsidRPr="00CE5079">
        <w:t xml:space="preserve">, et al. </w:t>
      </w:r>
      <w:proofErr w:type="spellStart"/>
      <w:r w:rsidRPr="00CE5079">
        <w:t>Brugada</w:t>
      </w:r>
      <w:proofErr w:type="spellEnd"/>
      <w:r w:rsidRPr="00CE5079">
        <w:t xml:space="preserve"> Syndrome. 2005 Mar 31 [Updated 2014 Apr 10]. In: </w:t>
      </w:r>
      <w:proofErr w:type="spellStart"/>
      <w:r w:rsidRPr="00CE5079">
        <w:t>Pagon</w:t>
      </w:r>
      <w:proofErr w:type="spellEnd"/>
      <w:r w:rsidRPr="00CE5079">
        <w:t xml:space="preserve"> RA, Adam MP, </w:t>
      </w:r>
      <w:proofErr w:type="spellStart"/>
      <w:r w:rsidRPr="00CE5079">
        <w:t>Ardinger</w:t>
      </w:r>
      <w:proofErr w:type="spellEnd"/>
      <w:r w:rsidRPr="00CE5079">
        <w:t xml:space="preserve"> HH, et al., editors. </w:t>
      </w:r>
      <w:proofErr w:type="spellStart"/>
      <w:r w:rsidRPr="00CE5079">
        <w:t>GeneReviews</w:t>
      </w:r>
      <w:proofErr w:type="spellEnd"/>
      <w:r w:rsidRPr="00CE5079">
        <w:t>® [Internet]. Seattle (WA): University of Washington, Seattle; 1993-2014. Available from: http://www.ncbi.nlm.nih.gov/books/NBK1517/</w:t>
      </w:r>
    </w:p>
    <w:p w:rsidR="000A77D3" w:rsidRPr="00CE5079" w:rsidRDefault="000A77D3" w:rsidP="000A77D3">
      <w:pPr>
        <w:pStyle w:val="ListParagraph"/>
        <w:widowControl w:val="0"/>
        <w:autoSpaceDE w:val="0"/>
        <w:autoSpaceDN w:val="0"/>
        <w:adjustRightInd w:val="0"/>
        <w:spacing w:after="0" w:line="240" w:lineRule="auto"/>
      </w:pPr>
    </w:p>
    <w:p w:rsidR="000A77D3" w:rsidRDefault="000A77D3" w:rsidP="000A77D3">
      <w:pPr>
        <w:pStyle w:val="ListParagraph"/>
        <w:widowControl w:val="0"/>
        <w:numPr>
          <w:ilvl w:val="0"/>
          <w:numId w:val="10"/>
        </w:numPr>
        <w:autoSpaceDE w:val="0"/>
        <w:autoSpaceDN w:val="0"/>
        <w:adjustRightInd w:val="0"/>
        <w:spacing w:after="0" w:line="240" w:lineRule="auto"/>
      </w:pPr>
      <w:r w:rsidRPr="00CE5079">
        <w:t xml:space="preserve">Napolitano C, Priori SG, </w:t>
      </w:r>
      <w:proofErr w:type="spellStart"/>
      <w:r w:rsidRPr="00CE5079">
        <w:t>Bloise</w:t>
      </w:r>
      <w:proofErr w:type="spellEnd"/>
      <w:r w:rsidRPr="00CE5079">
        <w:t xml:space="preserve"> R. </w:t>
      </w:r>
      <w:proofErr w:type="spellStart"/>
      <w:r w:rsidRPr="00CE5079">
        <w:t>Catecholaminergic</w:t>
      </w:r>
      <w:proofErr w:type="spellEnd"/>
      <w:r w:rsidRPr="00CE5079">
        <w:t xml:space="preserve"> Polymorphic Ventricular Tachycardia. 2004 Oct 14 [Updated 2014 Mar 6]. In: </w:t>
      </w:r>
      <w:proofErr w:type="spellStart"/>
      <w:r w:rsidRPr="00CE5079">
        <w:t>Pagon</w:t>
      </w:r>
      <w:proofErr w:type="spellEnd"/>
      <w:r w:rsidRPr="00CE5079">
        <w:t xml:space="preserve"> RA, Adam MP, </w:t>
      </w:r>
      <w:proofErr w:type="spellStart"/>
      <w:r w:rsidRPr="00CE5079">
        <w:t>Ardinger</w:t>
      </w:r>
      <w:proofErr w:type="spellEnd"/>
      <w:r w:rsidRPr="00CE5079">
        <w:t xml:space="preserve"> HH, et al., editors. </w:t>
      </w:r>
      <w:proofErr w:type="spellStart"/>
      <w:r w:rsidRPr="00CE5079">
        <w:t>GeneReviews</w:t>
      </w:r>
      <w:proofErr w:type="spellEnd"/>
      <w:r w:rsidRPr="00CE5079">
        <w:t>® [Internet]. Seattle (WA): University of Washington, Seattle; 1993-2015. Available from: http://www.ncbi.nlm.nih.gov/books/NBK1289/</w:t>
      </w:r>
    </w:p>
    <w:p w:rsidR="000A77D3" w:rsidRPr="00CE5079" w:rsidRDefault="000A77D3" w:rsidP="000A77D3">
      <w:pPr>
        <w:pStyle w:val="ListParagraph"/>
        <w:widowControl w:val="0"/>
        <w:autoSpaceDE w:val="0"/>
        <w:autoSpaceDN w:val="0"/>
        <w:adjustRightInd w:val="0"/>
        <w:spacing w:after="0" w:line="240" w:lineRule="auto"/>
      </w:pPr>
    </w:p>
    <w:p w:rsidR="000A77D3" w:rsidRDefault="000A77D3" w:rsidP="000A77D3">
      <w:pPr>
        <w:pStyle w:val="ListParagraph"/>
        <w:widowControl w:val="0"/>
        <w:numPr>
          <w:ilvl w:val="0"/>
          <w:numId w:val="10"/>
        </w:numPr>
        <w:autoSpaceDE w:val="0"/>
        <w:autoSpaceDN w:val="0"/>
        <w:adjustRightInd w:val="0"/>
        <w:spacing w:after="0" w:line="240" w:lineRule="auto"/>
      </w:pPr>
      <w:r w:rsidRPr="00CE5079">
        <w:t xml:space="preserve">Alders M, </w:t>
      </w:r>
      <w:proofErr w:type="spellStart"/>
      <w:r w:rsidRPr="00CE5079">
        <w:t>Christiaans</w:t>
      </w:r>
      <w:proofErr w:type="spellEnd"/>
      <w:r w:rsidRPr="00CE5079">
        <w:t xml:space="preserve"> I. Long QT Syndrome. 2003 Feb 20 [Updated 2015 Jun 18]. In: </w:t>
      </w:r>
      <w:proofErr w:type="spellStart"/>
      <w:r w:rsidRPr="00CE5079">
        <w:t>Pagon</w:t>
      </w:r>
      <w:proofErr w:type="spellEnd"/>
      <w:r w:rsidRPr="00CE5079">
        <w:t xml:space="preserve"> RA, Adam MP, </w:t>
      </w:r>
      <w:proofErr w:type="spellStart"/>
      <w:r w:rsidRPr="00CE5079">
        <w:t>Ardinger</w:t>
      </w:r>
      <w:proofErr w:type="spellEnd"/>
      <w:r w:rsidRPr="00CE5079">
        <w:t xml:space="preserve"> HH, et al., editors. </w:t>
      </w:r>
      <w:proofErr w:type="spellStart"/>
      <w:r w:rsidRPr="00CE5079">
        <w:t>GeneReviews</w:t>
      </w:r>
      <w:proofErr w:type="spellEnd"/>
      <w:r w:rsidRPr="00CE5079">
        <w:t>® [Internet]. Seattle (WA): University of Washington, Seattle; 1993-2016. Available from: http://www.ncbi.nlm.nih.gov/books/NBK1129/</w:t>
      </w:r>
    </w:p>
    <w:p w:rsidR="000A77D3" w:rsidRPr="00CE5079" w:rsidRDefault="000A77D3" w:rsidP="000A77D3">
      <w:pPr>
        <w:pStyle w:val="ListParagraph"/>
        <w:widowControl w:val="0"/>
        <w:autoSpaceDE w:val="0"/>
        <w:autoSpaceDN w:val="0"/>
        <w:adjustRightInd w:val="0"/>
        <w:spacing w:after="0" w:line="240" w:lineRule="auto"/>
      </w:pPr>
    </w:p>
    <w:p w:rsidR="000A77D3" w:rsidRDefault="000A77D3" w:rsidP="000A77D3">
      <w:pPr>
        <w:pStyle w:val="ListParagraph"/>
        <w:widowControl w:val="0"/>
        <w:numPr>
          <w:ilvl w:val="0"/>
          <w:numId w:val="10"/>
        </w:numPr>
        <w:autoSpaceDE w:val="0"/>
        <w:autoSpaceDN w:val="0"/>
        <w:adjustRightInd w:val="0"/>
        <w:spacing w:after="0" w:line="240" w:lineRule="auto"/>
      </w:pPr>
      <w:r w:rsidRPr="009010A6">
        <w:t xml:space="preserve">Priori et al. (2013) </w:t>
      </w:r>
      <w:r>
        <w:t xml:space="preserve">Executive summary: HRS/EHRA/APHRS expert consensus statement on the diagnosis and management of patients with inherited primary arrhythmia syndromes. </w:t>
      </w:r>
      <w:proofErr w:type="spellStart"/>
      <w:r w:rsidRPr="004E2CD6">
        <w:rPr>
          <w:i/>
        </w:rPr>
        <w:t>Europace</w:t>
      </w:r>
      <w:proofErr w:type="spellEnd"/>
      <w:r w:rsidRPr="009010A6">
        <w:t xml:space="preserve"> 15 (10):1389-406 (PMID: 23994779)</w:t>
      </w:r>
    </w:p>
    <w:p w:rsidR="000A77D3" w:rsidRPr="009010A6" w:rsidRDefault="000A77D3" w:rsidP="000A77D3">
      <w:pPr>
        <w:widowControl w:val="0"/>
        <w:autoSpaceDE w:val="0"/>
        <w:autoSpaceDN w:val="0"/>
        <w:adjustRightInd w:val="0"/>
        <w:spacing w:after="0" w:line="240" w:lineRule="auto"/>
      </w:pPr>
    </w:p>
    <w:p w:rsidR="000A77D3" w:rsidRDefault="000A77D3" w:rsidP="000A77D3">
      <w:pPr>
        <w:pStyle w:val="ListParagraph"/>
        <w:widowControl w:val="0"/>
        <w:numPr>
          <w:ilvl w:val="0"/>
          <w:numId w:val="10"/>
        </w:numPr>
        <w:autoSpaceDE w:val="0"/>
        <w:autoSpaceDN w:val="0"/>
        <w:adjustRightInd w:val="0"/>
        <w:spacing w:after="0" w:line="240" w:lineRule="auto"/>
      </w:pPr>
      <w:r w:rsidRPr="009010A6">
        <w:t xml:space="preserve">Priori et al. (2015) </w:t>
      </w:r>
      <w:r>
        <w:t xml:space="preserve">2015 ESC Guidelines for the management of patients with ventricular arrhythmias and the prevention of sudden cardiac death: The Task Force for the Management of Patients with Ventricular Arrhythmias and the Prevention of Sudden Cardiac Death of the European Society of Cardiology (ESC) Endorsed by: Association for European </w:t>
      </w:r>
      <w:proofErr w:type="spellStart"/>
      <w:r>
        <w:t>Paediatric</w:t>
      </w:r>
      <w:proofErr w:type="spellEnd"/>
      <w:r>
        <w:t xml:space="preserve"> and Congenital Cardiology (AEPC).  </w:t>
      </w:r>
      <w:proofErr w:type="spellStart"/>
      <w:r w:rsidRPr="004E2CD6">
        <w:rPr>
          <w:i/>
        </w:rPr>
        <w:t>Europace</w:t>
      </w:r>
      <w:proofErr w:type="spellEnd"/>
      <w:r w:rsidRPr="004E2CD6">
        <w:rPr>
          <w:i/>
        </w:rPr>
        <w:t xml:space="preserve"> </w:t>
      </w:r>
      <w:r w:rsidRPr="009010A6">
        <w:t>17 (11):1601-87 (PMID: 26318695)</w:t>
      </w:r>
    </w:p>
    <w:p w:rsidR="000A77D3" w:rsidRPr="009010A6" w:rsidRDefault="000A77D3" w:rsidP="000A77D3">
      <w:pPr>
        <w:widowControl w:val="0"/>
        <w:autoSpaceDE w:val="0"/>
        <w:autoSpaceDN w:val="0"/>
        <w:adjustRightInd w:val="0"/>
        <w:spacing w:after="0" w:line="240" w:lineRule="auto"/>
      </w:pPr>
    </w:p>
    <w:p w:rsidR="000A77D3" w:rsidRDefault="000A77D3" w:rsidP="000A77D3">
      <w:pPr>
        <w:pStyle w:val="ListParagraph"/>
        <w:widowControl w:val="0"/>
        <w:numPr>
          <w:ilvl w:val="0"/>
          <w:numId w:val="10"/>
        </w:numPr>
        <w:autoSpaceDE w:val="0"/>
        <w:autoSpaceDN w:val="0"/>
        <w:adjustRightInd w:val="0"/>
        <w:spacing w:after="0" w:line="240" w:lineRule="auto"/>
      </w:pPr>
      <w:proofErr w:type="spellStart"/>
      <w:r w:rsidRPr="00CE5079">
        <w:t>Brugada</w:t>
      </w:r>
      <w:proofErr w:type="spellEnd"/>
      <w:r w:rsidRPr="00CE5079">
        <w:t xml:space="preserve"> &amp; Fernandez-Armenta (2012) E-Journal of Cardiology Practice. 10(25) Available from: https://www.escardio.org/Journals/E-Journal-of-Cardiology-Practice/Volume-10/Arrhythmogenic-right-ventricular-dyplasia </w:t>
      </w:r>
      <w:r>
        <w:t>(Accessed 4/14/2017)</w:t>
      </w:r>
    </w:p>
    <w:p w:rsidR="000A77D3" w:rsidRDefault="000A77D3" w:rsidP="000A77D3">
      <w:pPr>
        <w:widowControl w:val="0"/>
        <w:autoSpaceDE w:val="0"/>
        <w:autoSpaceDN w:val="0"/>
        <w:adjustRightInd w:val="0"/>
        <w:spacing w:after="0" w:line="240" w:lineRule="auto"/>
      </w:pPr>
    </w:p>
    <w:p w:rsidR="000A77D3" w:rsidRDefault="000A77D3" w:rsidP="000A77D3">
      <w:pPr>
        <w:numPr>
          <w:ilvl w:val="0"/>
          <w:numId w:val="10"/>
        </w:numPr>
      </w:pPr>
      <w:r w:rsidRPr="00CD2F27">
        <w:t xml:space="preserve">Ackerman et al. (2011) HRS/EHRA expert consensus statement on the state of genetic testing for the </w:t>
      </w:r>
      <w:proofErr w:type="spellStart"/>
      <w:r w:rsidRPr="00CD2F27">
        <w:t>channelopathies</w:t>
      </w:r>
      <w:proofErr w:type="spellEnd"/>
      <w:r w:rsidRPr="00CD2F27">
        <w:t xml:space="preserve"> and cardiomyopathies this document was developed as a partnership between the Heart Rhythm Society (HRS) and the European Heart Rhythm Association (EHRA). Heart Rhythm : The Official Journal Of The Heart Rhythm Society 8 (8):1308-39 (PMID: 21787999)</w:t>
      </w:r>
    </w:p>
    <w:p w:rsidR="000A77D3" w:rsidRPr="00293F12" w:rsidRDefault="000A77D3" w:rsidP="000A77D3">
      <w:pPr>
        <w:pStyle w:val="ListParagraph"/>
        <w:widowControl w:val="0"/>
        <w:numPr>
          <w:ilvl w:val="0"/>
          <w:numId w:val="10"/>
        </w:numPr>
        <w:autoSpaceDE w:val="0"/>
        <w:autoSpaceDN w:val="0"/>
        <w:adjustRightInd w:val="0"/>
        <w:spacing w:after="0" w:line="240" w:lineRule="auto"/>
        <w:rPr>
          <w:sz w:val="20"/>
          <w:szCs w:val="20"/>
        </w:rPr>
      </w:pPr>
      <w:r>
        <w:t xml:space="preserve">Epstein et al. (2013) 2012 ACCF/AHA/HRS focused update incorporated into the ACCF/AHA/HRS 2008 guidelines for device-based therapy of cardiac rhythm abnormalities: a report of the American College of Cardiology Foundation/American Heart Association Task Force on Practice </w:t>
      </w:r>
      <w:r>
        <w:lastRenderedPageBreak/>
        <w:t xml:space="preserve">Guidelines and the Heart Rhythm Society. Journal </w:t>
      </w:r>
      <w:proofErr w:type="gramStart"/>
      <w:r>
        <w:t>Of</w:t>
      </w:r>
      <w:proofErr w:type="gramEnd"/>
      <w:r>
        <w:t xml:space="preserve"> The American College Of Cardiology. J. Am. Coll. </w:t>
      </w:r>
      <w:proofErr w:type="spellStart"/>
      <w:r>
        <w:t>Cardiol</w:t>
      </w:r>
      <w:proofErr w:type="spellEnd"/>
      <w:r>
        <w:t>. 61 (3):e6-75 (PMID: 23265327)</w:t>
      </w:r>
    </w:p>
    <w:p w:rsidR="000A77D3" w:rsidRPr="00CE5079" w:rsidRDefault="000A77D3" w:rsidP="000A77D3">
      <w:pPr>
        <w:widowControl w:val="0"/>
        <w:autoSpaceDE w:val="0"/>
        <w:autoSpaceDN w:val="0"/>
        <w:adjustRightInd w:val="0"/>
        <w:spacing w:after="0" w:line="240" w:lineRule="auto"/>
      </w:pPr>
    </w:p>
    <w:p w:rsidR="000A77D3" w:rsidRPr="00454799" w:rsidRDefault="000A77D3" w:rsidP="00454799">
      <w:pPr>
        <w:rPr>
          <w:sz w:val="18"/>
          <w:szCs w:val="18"/>
        </w:rPr>
      </w:pPr>
    </w:p>
    <w:sectPr w:rsidR="000A77D3" w:rsidRPr="00454799"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96BA7"/>
    <w:multiLevelType w:val="hybridMultilevel"/>
    <w:tmpl w:val="4B68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5E084A"/>
    <w:multiLevelType w:val="hybridMultilevel"/>
    <w:tmpl w:val="042A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4"/>
  </w:num>
  <w:num w:numId="6">
    <w:abstractNumId w:val="10"/>
  </w:num>
  <w:num w:numId="7">
    <w:abstractNumId w:val="3"/>
  </w:num>
  <w:num w:numId="8">
    <w:abstractNumId w:val="0"/>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A77D3"/>
    <w:rsid w:val="000B50A3"/>
    <w:rsid w:val="000D05E6"/>
    <w:rsid w:val="000E13FB"/>
    <w:rsid w:val="001109B6"/>
    <w:rsid w:val="00150F55"/>
    <w:rsid w:val="00205DB4"/>
    <w:rsid w:val="002414B7"/>
    <w:rsid w:val="00253146"/>
    <w:rsid w:val="002A7478"/>
    <w:rsid w:val="002D0B92"/>
    <w:rsid w:val="002D6FB7"/>
    <w:rsid w:val="00301F9D"/>
    <w:rsid w:val="00342070"/>
    <w:rsid w:val="003D0EA6"/>
    <w:rsid w:val="003E2CA8"/>
    <w:rsid w:val="00433DFB"/>
    <w:rsid w:val="00454799"/>
    <w:rsid w:val="00465837"/>
    <w:rsid w:val="004978D4"/>
    <w:rsid w:val="00535623"/>
    <w:rsid w:val="00543EEA"/>
    <w:rsid w:val="0057517A"/>
    <w:rsid w:val="005B76FB"/>
    <w:rsid w:val="006337EC"/>
    <w:rsid w:val="0064562A"/>
    <w:rsid w:val="00652804"/>
    <w:rsid w:val="00653661"/>
    <w:rsid w:val="0071491F"/>
    <w:rsid w:val="0073022E"/>
    <w:rsid w:val="0074159D"/>
    <w:rsid w:val="00776731"/>
    <w:rsid w:val="007A4442"/>
    <w:rsid w:val="007E1914"/>
    <w:rsid w:val="00855940"/>
    <w:rsid w:val="008569AB"/>
    <w:rsid w:val="008706C4"/>
    <w:rsid w:val="00887B41"/>
    <w:rsid w:val="008E7C39"/>
    <w:rsid w:val="00900219"/>
    <w:rsid w:val="00921AF4"/>
    <w:rsid w:val="00942600"/>
    <w:rsid w:val="009D4339"/>
    <w:rsid w:val="00A61A59"/>
    <w:rsid w:val="00AB2F4A"/>
    <w:rsid w:val="00B27690"/>
    <w:rsid w:val="00B374A4"/>
    <w:rsid w:val="00B82599"/>
    <w:rsid w:val="00BE244D"/>
    <w:rsid w:val="00C247D1"/>
    <w:rsid w:val="00C6665F"/>
    <w:rsid w:val="00D17422"/>
    <w:rsid w:val="00D66DD8"/>
    <w:rsid w:val="00DB3B6E"/>
    <w:rsid w:val="00DB690F"/>
    <w:rsid w:val="00DE6040"/>
    <w:rsid w:val="00E04C9D"/>
    <w:rsid w:val="00ED14F6"/>
    <w:rsid w:val="00F1597A"/>
    <w:rsid w:val="00F339A7"/>
    <w:rsid w:val="00F74480"/>
    <w:rsid w:val="00F9401A"/>
    <w:rsid w:val="00FB3BE6"/>
    <w:rsid w:val="00FB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 w:type="character" w:styleId="Hyperlink">
    <w:name w:val="Hyperlink"/>
    <w:basedOn w:val="DefaultParagraphFont"/>
    <w:uiPriority w:val="99"/>
    <w:unhideWhenUsed/>
    <w:rsid w:val="000A77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books/NBK11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Raymond Jubela</cp:lastModifiedBy>
  <cp:revision>2</cp:revision>
  <dcterms:created xsi:type="dcterms:W3CDTF">2019-11-11T22:27:00Z</dcterms:created>
  <dcterms:modified xsi:type="dcterms:W3CDTF">2019-11-11T22:27:00Z</dcterms:modified>
</cp:coreProperties>
</file>